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0BD06" w14:textId="13C482F3" w:rsidR="00CF03E0" w:rsidRPr="003D30EC" w:rsidRDefault="00CF03E0" w:rsidP="003D30EC">
      <w:pPr>
        <w:overflowPunct/>
        <w:autoSpaceDE/>
        <w:autoSpaceDN/>
        <w:adjustRightInd/>
        <w:spacing w:line="360" w:lineRule="auto"/>
        <w:jc w:val="both"/>
        <w:rPr>
          <w:rFonts w:ascii="Bookman Old Style" w:hAnsi="Bookman Old Style" w:cs="Segoe UI"/>
          <w:b/>
          <w:bCs/>
          <w:spacing w:val="6"/>
          <w:sz w:val="28"/>
          <w:szCs w:val="28"/>
          <w:lang w:val="es-CO"/>
        </w:rPr>
      </w:pPr>
    </w:p>
    <w:p w14:paraId="38A0730F" w14:textId="77777777" w:rsidR="00CF03E0" w:rsidRPr="001E0045" w:rsidRDefault="00CF03E0" w:rsidP="006C32A9">
      <w:pPr>
        <w:spacing w:line="360" w:lineRule="auto"/>
        <w:jc w:val="center"/>
        <w:rPr>
          <w:rFonts w:ascii="Bookman Old Style" w:hAnsi="Bookman Old Style"/>
          <w:b/>
          <w:bCs/>
          <w:spacing w:val="6"/>
          <w:sz w:val="28"/>
          <w:szCs w:val="28"/>
          <w:lang w:val="es-CO"/>
        </w:rPr>
      </w:pPr>
      <w:r w:rsidRPr="001E0045">
        <w:rPr>
          <w:rFonts w:ascii="Bookman Old Style" w:hAnsi="Bookman Old Style"/>
          <w:noProof/>
          <w:color w:val="7030A0"/>
          <w:spacing w:val="6"/>
          <w:sz w:val="28"/>
          <w:szCs w:val="28"/>
          <w:lang w:val="es-CO" w:eastAsia="es-CO"/>
        </w:rPr>
        <w:drawing>
          <wp:inline distT="0" distB="0" distL="0" distR="0" wp14:anchorId="650A3D6A" wp14:editId="54E2F96D">
            <wp:extent cx="1352550" cy="1724025"/>
            <wp:effectExtent l="0" t="0" r="0" b="9525"/>
            <wp:docPr id="1" name="Imagen 1" descr="EscudosVertical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rcRect l="16354" t="3635" r="17262" b="12175"/>
                    <a:stretch>
                      <a:fillRect/>
                    </a:stretch>
                  </pic:blipFill>
                  <pic:spPr>
                    <a:xfrm>
                      <a:off x="0" y="0"/>
                      <a:ext cx="1352550" cy="1724025"/>
                    </a:xfrm>
                    <a:prstGeom prst="rect">
                      <a:avLst/>
                    </a:prstGeom>
                  </pic:spPr>
                </pic:pic>
              </a:graphicData>
            </a:graphic>
          </wp:inline>
        </w:drawing>
      </w:r>
    </w:p>
    <w:p w14:paraId="7E6AE53B" w14:textId="77777777" w:rsidR="00CF03E0" w:rsidRPr="001E0045" w:rsidRDefault="00CF03E0" w:rsidP="006C32A9">
      <w:pPr>
        <w:spacing w:line="360" w:lineRule="auto"/>
        <w:jc w:val="center"/>
        <w:rPr>
          <w:rFonts w:ascii="Bookman Old Style" w:hAnsi="Bookman Old Style"/>
          <w:b/>
          <w:bCs/>
          <w:spacing w:val="6"/>
          <w:sz w:val="28"/>
          <w:szCs w:val="28"/>
          <w:lang w:val="es-CO" w:eastAsia="es-ES_tradnl"/>
        </w:rPr>
      </w:pPr>
    </w:p>
    <w:p w14:paraId="65E90004" w14:textId="77777777" w:rsidR="00CF03E0" w:rsidRPr="001E0045" w:rsidRDefault="00CF03E0" w:rsidP="006C32A9">
      <w:pPr>
        <w:spacing w:line="360" w:lineRule="auto"/>
        <w:jc w:val="center"/>
        <w:rPr>
          <w:rFonts w:ascii="Bookman Old Style" w:hAnsi="Bookman Old Style"/>
          <w:b/>
          <w:bCs/>
          <w:spacing w:val="6"/>
          <w:sz w:val="28"/>
          <w:szCs w:val="28"/>
          <w:lang w:val="es-CO"/>
        </w:rPr>
      </w:pPr>
      <w:r w:rsidRPr="001E0045">
        <w:rPr>
          <w:rFonts w:ascii="Bookman Old Style" w:hAnsi="Bookman Old Style"/>
          <w:b/>
          <w:bCs/>
          <w:spacing w:val="6"/>
          <w:sz w:val="28"/>
          <w:szCs w:val="28"/>
          <w:lang w:val="es-CO"/>
        </w:rPr>
        <w:t>FERNANDO LEÓN BOLAÑOS PALACIOS</w:t>
      </w:r>
    </w:p>
    <w:p w14:paraId="36B295C3" w14:textId="77777777" w:rsidR="00CF03E0" w:rsidRPr="001E0045" w:rsidRDefault="00CF03E0" w:rsidP="006C32A9">
      <w:pPr>
        <w:spacing w:line="360" w:lineRule="auto"/>
        <w:jc w:val="center"/>
        <w:rPr>
          <w:rFonts w:ascii="Bookman Old Style" w:hAnsi="Bookman Old Style"/>
          <w:b/>
          <w:bCs/>
          <w:spacing w:val="6"/>
          <w:sz w:val="28"/>
          <w:szCs w:val="28"/>
          <w:lang w:val="es-CO"/>
        </w:rPr>
      </w:pPr>
      <w:r w:rsidRPr="001E0045">
        <w:rPr>
          <w:rFonts w:ascii="Bookman Old Style" w:hAnsi="Bookman Old Style"/>
          <w:b/>
          <w:bCs/>
          <w:spacing w:val="6"/>
          <w:sz w:val="28"/>
          <w:szCs w:val="28"/>
          <w:lang w:val="es-CO"/>
        </w:rPr>
        <w:t>Magistrado Ponente</w:t>
      </w:r>
    </w:p>
    <w:p w14:paraId="298AB778" w14:textId="77777777" w:rsidR="00CF03E0" w:rsidRPr="001E0045" w:rsidRDefault="00CF03E0" w:rsidP="006C32A9">
      <w:pPr>
        <w:spacing w:line="360" w:lineRule="auto"/>
        <w:jc w:val="center"/>
        <w:rPr>
          <w:rFonts w:ascii="Bookman Old Style" w:hAnsi="Bookman Old Style"/>
          <w:b/>
          <w:spacing w:val="6"/>
          <w:sz w:val="28"/>
          <w:szCs w:val="28"/>
          <w:lang w:val="es-CO"/>
        </w:rPr>
      </w:pPr>
    </w:p>
    <w:p w14:paraId="49AD316A" w14:textId="67C49412" w:rsidR="00CF03E0" w:rsidRPr="001E0045" w:rsidRDefault="00CF03E0" w:rsidP="006C32A9">
      <w:pPr>
        <w:spacing w:line="360" w:lineRule="auto"/>
        <w:jc w:val="center"/>
        <w:rPr>
          <w:rFonts w:ascii="Bookman Old Style" w:hAnsi="Bookman Old Style"/>
          <w:b/>
          <w:spacing w:val="6"/>
          <w:sz w:val="28"/>
          <w:szCs w:val="28"/>
          <w:lang w:val="es-CO"/>
        </w:rPr>
      </w:pPr>
      <w:r w:rsidRPr="001E0045">
        <w:rPr>
          <w:rFonts w:ascii="Bookman Old Style" w:hAnsi="Bookman Old Style"/>
          <w:b/>
          <w:spacing w:val="6"/>
          <w:sz w:val="28"/>
          <w:szCs w:val="28"/>
          <w:lang w:val="es-CO"/>
        </w:rPr>
        <w:t>AP</w:t>
      </w:r>
      <w:r w:rsidR="00BD0437">
        <w:rPr>
          <w:rFonts w:ascii="Bookman Old Style" w:hAnsi="Bookman Old Style"/>
          <w:b/>
          <w:spacing w:val="6"/>
          <w:sz w:val="28"/>
          <w:szCs w:val="28"/>
          <w:lang w:val="es-CO"/>
        </w:rPr>
        <w:t>3961</w:t>
      </w:r>
      <w:r w:rsidRPr="001E0045">
        <w:rPr>
          <w:rFonts w:ascii="Bookman Old Style" w:hAnsi="Bookman Old Style"/>
          <w:b/>
          <w:spacing w:val="6"/>
          <w:sz w:val="28"/>
          <w:szCs w:val="28"/>
          <w:lang w:val="es-CO"/>
        </w:rPr>
        <w:t>-202</w:t>
      </w:r>
      <w:r w:rsidR="00F22896" w:rsidRPr="001E0045">
        <w:rPr>
          <w:rFonts w:ascii="Bookman Old Style" w:hAnsi="Bookman Old Style"/>
          <w:b/>
          <w:spacing w:val="6"/>
          <w:sz w:val="28"/>
          <w:szCs w:val="28"/>
          <w:lang w:val="es-CO"/>
        </w:rPr>
        <w:t>6</w:t>
      </w:r>
    </w:p>
    <w:p w14:paraId="144D798A" w14:textId="6FD5286F" w:rsidR="00CF03E0" w:rsidRPr="001E0045" w:rsidRDefault="00F532B5" w:rsidP="006C32A9">
      <w:pPr>
        <w:spacing w:line="360" w:lineRule="auto"/>
        <w:jc w:val="center"/>
        <w:rPr>
          <w:rFonts w:ascii="Bookman Old Style" w:hAnsi="Bookman Old Style"/>
          <w:b/>
          <w:bCs/>
          <w:spacing w:val="6"/>
          <w:sz w:val="28"/>
          <w:szCs w:val="28"/>
          <w:highlight w:val="cyan"/>
          <w:lang w:val="es-CO"/>
        </w:rPr>
      </w:pPr>
      <w:r w:rsidRPr="001E0045">
        <w:rPr>
          <w:rFonts w:ascii="Bookman Old Style" w:hAnsi="Bookman Old Style"/>
          <w:b/>
          <w:bCs/>
          <w:spacing w:val="6"/>
          <w:sz w:val="28"/>
          <w:szCs w:val="28"/>
          <w:lang w:val="es-CO"/>
        </w:rPr>
        <w:t xml:space="preserve">Radicación </w:t>
      </w:r>
      <w:proofErr w:type="spellStart"/>
      <w:r w:rsidRPr="001E0045">
        <w:rPr>
          <w:rFonts w:ascii="Bookman Old Style" w:hAnsi="Bookman Old Style"/>
          <w:b/>
          <w:bCs/>
          <w:spacing w:val="6"/>
          <w:sz w:val="28"/>
          <w:szCs w:val="28"/>
          <w:lang w:val="es-CO"/>
        </w:rPr>
        <w:t>N.°</w:t>
      </w:r>
      <w:proofErr w:type="spellEnd"/>
      <w:r w:rsidR="00CF03E0" w:rsidRPr="001E0045">
        <w:rPr>
          <w:rFonts w:ascii="Bookman Old Style" w:hAnsi="Bookman Old Style"/>
          <w:b/>
          <w:bCs/>
          <w:spacing w:val="6"/>
          <w:sz w:val="28"/>
          <w:szCs w:val="28"/>
          <w:lang w:val="es-CO"/>
        </w:rPr>
        <w:t xml:space="preserve"> </w:t>
      </w:r>
      <w:r w:rsidR="32389369" w:rsidRPr="001E0045">
        <w:rPr>
          <w:rFonts w:ascii="Bookman Old Style" w:hAnsi="Bookman Old Style"/>
          <w:b/>
          <w:bCs/>
          <w:spacing w:val="6"/>
          <w:sz w:val="28"/>
          <w:szCs w:val="28"/>
          <w:lang w:val="es-CO"/>
        </w:rPr>
        <w:t>71395</w:t>
      </w:r>
    </w:p>
    <w:p w14:paraId="7B3C684A" w14:textId="4337D6C3" w:rsidR="00CF03E0" w:rsidRPr="001E0045" w:rsidRDefault="00CF03E0" w:rsidP="006C32A9">
      <w:pPr>
        <w:spacing w:line="360" w:lineRule="auto"/>
        <w:jc w:val="center"/>
        <w:rPr>
          <w:rFonts w:ascii="Bookman Old Style" w:hAnsi="Bookman Old Style"/>
          <w:b/>
          <w:bCs/>
          <w:spacing w:val="6"/>
          <w:sz w:val="28"/>
          <w:szCs w:val="28"/>
          <w:lang w:val="es-CO"/>
        </w:rPr>
      </w:pPr>
      <w:r w:rsidRPr="001E0045">
        <w:rPr>
          <w:rFonts w:ascii="Bookman Old Style" w:hAnsi="Bookman Old Style"/>
          <w:b/>
          <w:bCs/>
          <w:spacing w:val="6"/>
          <w:sz w:val="28"/>
          <w:szCs w:val="28"/>
          <w:lang w:val="es-CO"/>
        </w:rPr>
        <w:t xml:space="preserve">Aprobado Acta </w:t>
      </w:r>
      <w:r w:rsidR="00F532B5" w:rsidRPr="001E0045">
        <w:rPr>
          <w:rFonts w:ascii="Bookman Old Style" w:hAnsi="Bookman Old Style"/>
          <w:b/>
          <w:bCs/>
          <w:spacing w:val="6"/>
          <w:sz w:val="28"/>
          <w:szCs w:val="28"/>
          <w:lang w:val="es-CO"/>
        </w:rPr>
        <w:t xml:space="preserve">No. </w:t>
      </w:r>
      <w:r w:rsidR="003D30EC">
        <w:rPr>
          <w:rFonts w:ascii="Bookman Old Style" w:hAnsi="Bookman Old Style"/>
          <w:b/>
          <w:bCs/>
          <w:spacing w:val="6"/>
          <w:sz w:val="28"/>
          <w:szCs w:val="28"/>
          <w:lang w:val="es-CO"/>
        </w:rPr>
        <w:t>189</w:t>
      </w:r>
    </w:p>
    <w:p w14:paraId="5779D1D2" w14:textId="77777777" w:rsidR="00CF03E0" w:rsidRPr="001E0045" w:rsidRDefault="00CF03E0" w:rsidP="006C32A9">
      <w:pPr>
        <w:spacing w:line="360" w:lineRule="auto"/>
        <w:jc w:val="center"/>
        <w:rPr>
          <w:rFonts w:ascii="Bookman Old Style" w:hAnsi="Bookman Old Style" w:cs="Arial"/>
          <w:b/>
          <w:spacing w:val="6"/>
          <w:sz w:val="28"/>
          <w:szCs w:val="28"/>
          <w:lang w:val="es-CO"/>
        </w:rPr>
      </w:pPr>
    </w:p>
    <w:p w14:paraId="31ACDD69" w14:textId="77777777" w:rsidR="00F44CD5" w:rsidRPr="001E0045" w:rsidRDefault="00F44CD5" w:rsidP="006C32A9">
      <w:pPr>
        <w:spacing w:line="360" w:lineRule="auto"/>
        <w:ind w:firstLine="709"/>
        <w:jc w:val="center"/>
        <w:rPr>
          <w:rFonts w:ascii="Bookman Old Style" w:hAnsi="Bookman Old Style" w:cs="Arial"/>
          <w:b/>
          <w:spacing w:val="6"/>
          <w:sz w:val="28"/>
          <w:szCs w:val="28"/>
          <w:lang w:val="es-CO"/>
        </w:rPr>
      </w:pPr>
    </w:p>
    <w:p w14:paraId="1EF87C3E" w14:textId="7C0209A8" w:rsidR="00CF03E0" w:rsidRPr="001E0045" w:rsidRDefault="00CF03E0" w:rsidP="006C32A9">
      <w:pPr>
        <w:spacing w:line="360" w:lineRule="auto"/>
        <w:ind w:firstLine="709"/>
        <w:jc w:val="both"/>
        <w:rPr>
          <w:rFonts w:ascii="Bookman Old Style" w:hAnsi="Bookman Old Style"/>
          <w:spacing w:val="6"/>
          <w:sz w:val="28"/>
          <w:szCs w:val="28"/>
          <w:lang w:val="es-CO"/>
        </w:rPr>
      </w:pPr>
      <w:r w:rsidRPr="001E0045">
        <w:rPr>
          <w:rFonts w:ascii="Bookman Old Style" w:hAnsi="Bookman Old Style"/>
          <w:spacing w:val="6"/>
          <w:sz w:val="28"/>
          <w:szCs w:val="28"/>
          <w:lang w:val="es-CO"/>
        </w:rPr>
        <w:t>Bogotá D.C.,</w:t>
      </w:r>
      <w:r w:rsidR="00151DD7">
        <w:rPr>
          <w:rFonts w:ascii="Bookman Old Style" w:hAnsi="Bookman Old Style"/>
          <w:spacing w:val="6"/>
          <w:sz w:val="28"/>
          <w:szCs w:val="28"/>
          <w:lang w:val="es-CO"/>
        </w:rPr>
        <w:t xml:space="preserve"> diez (10) de junio de dos mil veintiséis (2026).</w:t>
      </w:r>
    </w:p>
    <w:p w14:paraId="0C8CB479" w14:textId="77777777" w:rsidR="00F22896" w:rsidRPr="001E0045" w:rsidRDefault="00F22896" w:rsidP="003D30EC">
      <w:pPr>
        <w:spacing w:line="360" w:lineRule="auto"/>
        <w:rPr>
          <w:rFonts w:ascii="Bookman Old Style" w:hAnsi="Bookman Old Style" w:cs="Arial"/>
          <w:b/>
          <w:spacing w:val="6"/>
          <w:sz w:val="28"/>
          <w:szCs w:val="28"/>
          <w:lang w:val="es-CO"/>
        </w:rPr>
      </w:pPr>
    </w:p>
    <w:p w14:paraId="02BEC17F" w14:textId="77777777" w:rsidR="00CF03E0" w:rsidRPr="001E0045" w:rsidRDefault="00CF03E0" w:rsidP="006C32A9">
      <w:pPr>
        <w:pStyle w:val="Prrafodelista"/>
        <w:keepNext/>
        <w:numPr>
          <w:ilvl w:val="0"/>
          <w:numId w:val="10"/>
        </w:numPr>
        <w:suppressAutoHyphens/>
        <w:overflowPunct/>
        <w:autoSpaceDE/>
        <w:autoSpaceDN/>
        <w:adjustRightInd/>
        <w:spacing w:line="360" w:lineRule="auto"/>
        <w:ind w:left="0" w:firstLine="709"/>
        <w:contextualSpacing w:val="0"/>
        <w:jc w:val="center"/>
        <w:textAlignment w:val="auto"/>
        <w:outlineLvl w:val="0"/>
        <w:rPr>
          <w:rFonts w:ascii="Bookman Old Style" w:hAnsi="Bookman Old Style" w:cs="Arial"/>
          <w:b/>
          <w:spacing w:val="6"/>
          <w:sz w:val="28"/>
          <w:szCs w:val="28"/>
          <w:lang w:val="es-CO"/>
        </w:rPr>
      </w:pPr>
      <w:r w:rsidRPr="001E0045">
        <w:rPr>
          <w:rFonts w:ascii="Bookman Old Style" w:hAnsi="Bookman Old Style" w:cs="Arial"/>
          <w:b/>
          <w:spacing w:val="6"/>
          <w:sz w:val="28"/>
          <w:szCs w:val="28"/>
          <w:lang w:val="es-CO"/>
        </w:rPr>
        <w:t>ASUNTO</w:t>
      </w:r>
    </w:p>
    <w:p w14:paraId="0F7A5271" w14:textId="77777777" w:rsidR="00F22896" w:rsidRPr="001E0045" w:rsidRDefault="00F22896" w:rsidP="006C32A9">
      <w:pPr>
        <w:spacing w:line="360" w:lineRule="auto"/>
        <w:rPr>
          <w:rFonts w:ascii="Bookman Old Style" w:hAnsi="Bookman Old Style" w:cs="Arial"/>
          <w:b/>
          <w:spacing w:val="6"/>
          <w:sz w:val="28"/>
          <w:szCs w:val="28"/>
          <w:lang w:val="es-CO"/>
        </w:rPr>
      </w:pPr>
    </w:p>
    <w:p w14:paraId="2875FC47" w14:textId="2943DBFB" w:rsidR="00CF03E0" w:rsidRPr="00D25756" w:rsidRDefault="006C32A9" w:rsidP="006C32A9">
      <w:pPr>
        <w:pStyle w:val="Prrafodelista"/>
        <w:numPr>
          <w:ilvl w:val="0"/>
          <w:numId w:val="23"/>
        </w:numPr>
        <w:spacing w:line="360" w:lineRule="auto"/>
        <w:ind w:left="0" w:firstLine="720"/>
        <w:jc w:val="both"/>
        <w:rPr>
          <w:rFonts w:ascii="Bookman Old Style" w:hAnsi="Bookman Old Style" w:cs="Arial"/>
          <w:sz w:val="28"/>
          <w:szCs w:val="28"/>
          <w:lang w:val="es-ES"/>
        </w:rPr>
      </w:pPr>
      <w:r w:rsidRPr="43420347">
        <w:rPr>
          <w:rFonts w:ascii="Bookman Old Style" w:hAnsi="Bookman Old Style" w:cs="Arial"/>
          <w:sz w:val="28"/>
          <w:szCs w:val="28"/>
          <w:lang w:val="es-ES"/>
        </w:rPr>
        <w:t xml:space="preserve">La Corte </w:t>
      </w:r>
      <w:r>
        <w:rPr>
          <w:rFonts w:ascii="Bookman Old Style" w:hAnsi="Bookman Old Style" w:cs="Arial"/>
          <w:sz w:val="28"/>
          <w:szCs w:val="28"/>
          <w:lang w:val="es-ES"/>
        </w:rPr>
        <w:t>s</w:t>
      </w:r>
      <w:r w:rsidR="00CB13AA" w:rsidRPr="43420347">
        <w:rPr>
          <w:rFonts w:ascii="Bookman Old Style" w:hAnsi="Bookman Old Style" w:cs="Arial"/>
          <w:sz w:val="28"/>
          <w:szCs w:val="28"/>
          <w:lang w:val="es-ES"/>
        </w:rPr>
        <w:t>e pronuncia respecto del recurso de apelación</w:t>
      </w:r>
      <w:r w:rsidR="00CB13AA" w:rsidRPr="43420347">
        <w:rPr>
          <w:rFonts w:ascii="Bookman Old Style" w:hAnsi="Bookman Old Style" w:cs="Arial"/>
          <w:b/>
          <w:bCs/>
          <w:sz w:val="28"/>
          <w:szCs w:val="28"/>
          <w:lang w:val="es-ES"/>
        </w:rPr>
        <w:t xml:space="preserve"> </w:t>
      </w:r>
      <w:r w:rsidR="00CB13AA" w:rsidRPr="43420347">
        <w:rPr>
          <w:rFonts w:ascii="Bookman Old Style" w:hAnsi="Bookman Old Style" w:cs="Arial"/>
          <w:sz w:val="28"/>
          <w:szCs w:val="28"/>
          <w:lang w:val="es-ES"/>
        </w:rPr>
        <w:t xml:space="preserve">interpuesto por el apoderado de </w:t>
      </w:r>
      <w:r w:rsidR="71D9160E" w:rsidRPr="43420347">
        <w:rPr>
          <w:rStyle w:val="FontStyle24"/>
          <w:rFonts w:eastAsiaTheme="majorEastAsia"/>
          <w:sz w:val="28"/>
          <w:szCs w:val="28"/>
          <w:lang w:val="es-ES"/>
        </w:rPr>
        <w:t>EDMON JOSÉ BECHARA DONADO</w:t>
      </w:r>
      <w:r w:rsidR="00CB13AA" w:rsidRPr="43420347">
        <w:rPr>
          <w:rFonts w:ascii="Bookman Old Style" w:hAnsi="Bookman Old Style" w:cs="Arial"/>
          <w:b/>
          <w:bCs/>
          <w:sz w:val="28"/>
          <w:szCs w:val="28"/>
          <w:lang w:val="es-ES"/>
        </w:rPr>
        <w:t xml:space="preserve"> </w:t>
      </w:r>
      <w:r w:rsidR="00CB13AA" w:rsidRPr="43420347">
        <w:rPr>
          <w:rFonts w:ascii="Bookman Old Style" w:hAnsi="Bookman Old Style" w:cs="Arial"/>
          <w:sz w:val="28"/>
          <w:szCs w:val="28"/>
          <w:lang w:val="es-ES"/>
        </w:rPr>
        <w:t xml:space="preserve">contra </w:t>
      </w:r>
      <w:r w:rsidR="286D4D31" w:rsidRPr="43420347">
        <w:rPr>
          <w:rFonts w:ascii="Bookman Old Style" w:hAnsi="Bookman Old Style" w:cs="Arial"/>
          <w:sz w:val="28"/>
          <w:szCs w:val="28"/>
          <w:lang w:val="es-ES"/>
        </w:rPr>
        <w:t>el auto</w:t>
      </w:r>
      <w:r w:rsidR="00CB13AA" w:rsidRPr="43420347">
        <w:rPr>
          <w:rFonts w:ascii="Bookman Old Style" w:hAnsi="Bookman Old Style" w:cs="Arial"/>
          <w:sz w:val="28"/>
          <w:szCs w:val="28"/>
          <w:lang w:val="es-ES"/>
        </w:rPr>
        <w:t xml:space="preserve"> proferido el 13 de </w:t>
      </w:r>
      <w:r w:rsidR="70D94DA9" w:rsidRPr="43420347">
        <w:rPr>
          <w:rFonts w:ascii="Bookman Old Style" w:hAnsi="Bookman Old Style" w:cs="Arial"/>
          <w:sz w:val="28"/>
          <w:szCs w:val="28"/>
          <w:lang w:val="es-ES"/>
        </w:rPr>
        <w:t>noviembre</w:t>
      </w:r>
      <w:r w:rsidR="00CB13AA" w:rsidRPr="43420347">
        <w:rPr>
          <w:rFonts w:ascii="Bookman Old Style" w:hAnsi="Bookman Old Style" w:cs="Arial"/>
          <w:sz w:val="28"/>
          <w:szCs w:val="28"/>
          <w:lang w:val="es-ES"/>
        </w:rPr>
        <w:t xml:space="preserve"> de 202</w:t>
      </w:r>
      <w:r w:rsidR="71E4C506" w:rsidRPr="43420347">
        <w:rPr>
          <w:rFonts w:ascii="Bookman Old Style" w:hAnsi="Bookman Old Style" w:cs="Arial"/>
          <w:sz w:val="28"/>
          <w:szCs w:val="28"/>
          <w:lang w:val="es-ES"/>
        </w:rPr>
        <w:t>5</w:t>
      </w:r>
      <w:r>
        <w:rPr>
          <w:rFonts w:ascii="Bookman Old Style" w:hAnsi="Bookman Old Style" w:cs="Arial"/>
          <w:sz w:val="28"/>
          <w:szCs w:val="28"/>
          <w:lang w:val="es-ES"/>
        </w:rPr>
        <w:t xml:space="preserve">, </w:t>
      </w:r>
      <w:r w:rsidR="00CB13AA" w:rsidRPr="43420347">
        <w:rPr>
          <w:rFonts w:ascii="Bookman Old Style" w:hAnsi="Bookman Old Style" w:cs="Arial"/>
          <w:sz w:val="28"/>
          <w:szCs w:val="28"/>
          <w:lang w:val="es-ES"/>
        </w:rPr>
        <w:t xml:space="preserve">por la Sala </w:t>
      </w:r>
      <w:r w:rsidR="086E4726" w:rsidRPr="43420347">
        <w:rPr>
          <w:rFonts w:ascii="Bookman Old Style" w:hAnsi="Bookman Old Style" w:cs="Arial"/>
          <w:sz w:val="28"/>
          <w:szCs w:val="28"/>
          <w:lang w:val="es-ES"/>
        </w:rPr>
        <w:t xml:space="preserve">Especializada </w:t>
      </w:r>
      <w:r w:rsidR="00CB13AA" w:rsidRPr="43420347">
        <w:rPr>
          <w:rFonts w:ascii="Bookman Old Style" w:hAnsi="Bookman Old Style" w:cs="Arial"/>
          <w:sz w:val="28"/>
          <w:szCs w:val="28"/>
          <w:lang w:val="es-ES"/>
        </w:rPr>
        <w:t>de Extinción de Dominio del Tribunal Superior del Distrito Judicial de Bogotá,</w:t>
      </w:r>
      <w:r w:rsidR="5071FC2D" w:rsidRPr="43420347">
        <w:rPr>
          <w:rFonts w:ascii="Bookman Old Style" w:hAnsi="Bookman Old Style" w:cs="Arial"/>
          <w:sz w:val="28"/>
          <w:szCs w:val="28"/>
          <w:lang w:val="es-ES"/>
        </w:rPr>
        <w:t xml:space="preserve"> mediante el cual declaró</w:t>
      </w:r>
      <w:r w:rsidR="28B497B7" w:rsidRPr="43420347">
        <w:rPr>
          <w:rFonts w:ascii="Bookman Old Style" w:hAnsi="Bookman Old Style" w:cs="Arial"/>
          <w:sz w:val="28"/>
          <w:szCs w:val="28"/>
          <w:lang w:val="es-ES"/>
        </w:rPr>
        <w:t xml:space="preserve"> improcedente</w:t>
      </w:r>
      <w:r w:rsidR="00CB13AA" w:rsidRPr="43420347">
        <w:rPr>
          <w:rFonts w:ascii="Bookman Old Style" w:hAnsi="Bookman Old Style" w:cs="Arial"/>
          <w:sz w:val="28"/>
          <w:szCs w:val="28"/>
          <w:lang w:val="es-ES"/>
        </w:rPr>
        <w:t xml:space="preserve"> la demanda de revisión formulada contra la sentencia adoptada el </w:t>
      </w:r>
      <w:r w:rsidR="1ABD8C96" w:rsidRPr="43420347">
        <w:rPr>
          <w:rFonts w:ascii="Bookman Old Style" w:hAnsi="Bookman Old Style" w:cs="Arial"/>
          <w:sz w:val="28"/>
          <w:szCs w:val="28"/>
          <w:lang w:val="es-ES"/>
        </w:rPr>
        <w:t>16 de diciembre de 2014</w:t>
      </w:r>
      <w:r w:rsidR="20776EF6" w:rsidRPr="43420347">
        <w:rPr>
          <w:rFonts w:ascii="Bookman Old Style" w:hAnsi="Bookman Old Style" w:cs="Arial"/>
          <w:sz w:val="28"/>
          <w:szCs w:val="28"/>
          <w:lang w:val="es-ES"/>
        </w:rPr>
        <w:t xml:space="preserve"> </w:t>
      </w:r>
      <w:r w:rsidR="20776EF6" w:rsidRPr="43420347">
        <w:rPr>
          <w:rFonts w:ascii="Bookman Old Style" w:hAnsi="Bookman Old Style" w:cs="Arial"/>
          <w:szCs w:val="26"/>
          <w:lang w:val="es-ES"/>
        </w:rPr>
        <w:t>(corregida el 16 de febrero de 2016)</w:t>
      </w:r>
      <w:r w:rsidR="1C5F7FC2" w:rsidRPr="43420347">
        <w:rPr>
          <w:rFonts w:ascii="Bookman Old Style" w:hAnsi="Bookman Old Style" w:cs="Arial"/>
          <w:sz w:val="28"/>
          <w:szCs w:val="28"/>
          <w:lang w:val="es-ES"/>
        </w:rPr>
        <w:t>. En esa decisión se revocó</w:t>
      </w:r>
      <w:r w:rsidR="1ABD8C96" w:rsidRPr="43420347">
        <w:rPr>
          <w:rFonts w:ascii="Bookman Old Style" w:hAnsi="Bookman Old Style" w:cs="Arial"/>
          <w:sz w:val="28"/>
          <w:szCs w:val="28"/>
          <w:lang w:val="es-ES"/>
        </w:rPr>
        <w:t xml:space="preserve"> el proveído emitido el </w:t>
      </w:r>
      <w:r w:rsidR="00275374">
        <w:rPr>
          <w:rFonts w:ascii="Bookman Old Style" w:hAnsi="Bookman Old Style" w:cs="Arial"/>
          <w:sz w:val="28"/>
          <w:szCs w:val="28"/>
          <w:lang w:val="es-ES"/>
        </w:rPr>
        <w:t>3</w:t>
      </w:r>
      <w:r w:rsidR="1ABD8C96" w:rsidRPr="43420347">
        <w:rPr>
          <w:rFonts w:ascii="Bookman Old Style" w:hAnsi="Bookman Old Style" w:cs="Arial"/>
          <w:sz w:val="28"/>
          <w:szCs w:val="28"/>
          <w:lang w:val="es-ES"/>
        </w:rPr>
        <w:t>0 de enero de 2012 por el Juzgado Tercero Especializado de Extinción de Dominio de Bogotá</w:t>
      </w:r>
      <w:r w:rsidR="7F9B0DD4" w:rsidRPr="43420347">
        <w:rPr>
          <w:rFonts w:ascii="Bookman Old Style" w:hAnsi="Bookman Old Style" w:cs="Arial"/>
          <w:sz w:val="28"/>
          <w:szCs w:val="28"/>
          <w:lang w:val="es-ES"/>
        </w:rPr>
        <w:t xml:space="preserve"> y en su lugar,</w:t>
      </w:r>
      <w:r w:rsidR="73DEF118" w:rsidRPr="43420347">
        <w:rPr>
          <w:rFonts w:ascii="Bookman Old Style" w:hAnsi="Bookman Old Style" w:cs="Arial"/>
          <w:sz w:val="28"/>
          <w:szCs w:val="28"/>
          <w:lang w:val="es-ES"/>
        </w:rPr>
        <w:t xml:space="preserve"> </w:t>
      </w:r>
      <w:r w:rsidR="4EA4A9CB" w:rsidRPr="43420347">
        <w:rPr>
          <w:rFonts w:ascii="Bookman Old Style" w:hAnsi="Bookman Old Style" w:cs="Arial"/>
          <w:sz w:val="28"/>
          <w:szCs w:val="28"/>
          <w:lang w:val="es-ES"/>
        </w:rPr>
        <w:t xml:space="preserve">se </w:t>
      </w:r>
      <w:r w:rsidR="73DEF118" w:rsidRPr="43420347">
        <w:rPr>
          <w:rFonts w:ascii="Bookman Old Style" w:hAnsi="Bookman Old Style" w:cs="Arial"/>
          <w:sz w:val="28"/>
          <w:szCs w:val="28"/>
          <w:lang w:val="es-ES"/>
        </w:rPr>
        <w:t xml:space="preserve">decretó la </w:t>
      </w:r>
      <w:r w:rsidR="73DEF118" w:rsidRPr="43420347">
        <w:rPr>
          <w:rFonts w:ascii="Bookman Old Style" w:hAnsi="Bookman Old Style" w:cs="Arial"/>
          <w:sz w:val="28"/>
          <w:szCs w:val="28"/>
          <w:lang w:val="es-ES"/>
        </w:rPr>
        <w:lastRenderedPageBreak/>
        <w:t xml:space="preserve">extinción del derecho de dominio </w:t>
      </w:r>
      <w:r w:rsidR="4CB553BD" w:rsidRPr="43420347">
        <w:rPr>
          <w:rFonts w:ascii="Bookman Old Style" w:hAnsi="Bookman Old Style" w:cs="Arial"/>
          <w:sz w:val="28"/>
          <w:szCs w:val="28"/>
          <w:lang w:val="es-ES"/>
        </w:rPr>
        <w:t>sobre los bienes inmueble</w:t>
      </w:r>
      <w:r w:rsidR="393E109F" w:rsidRPr="43420347">
        <w:rPr>
          <w:rFonts w:ascii="Bookman Old Style" w:hAnsi="Bookman Old Style" w:cs="Arial"/>
          <w:sz w:val="28"/>
          <w:szCs w:val="28"/>
          <w:lang w:val="es-ES"/>
        </w:rPr>
        <w:t>s que hacían parte del</w:t>
      </w:r>
      <w:r w:rsidR="4CB553BD" w:rsidRPr="43420347">
        <w:rPr>
          <w:rFonts w:ascii="Bookman Old Style" w:hAnsi="Bookman Old Style" w:cs="Arial"/>
          <w:sz w:val="28"/>
          <w:szCs w:val="28"/>
          <w:lang w:val="es-ES"/>
        </w:rPr>
        <w:t xml:space="preserve"> patrimonio de Julio César Bechara M</w:t>
      </w:r>
      <w:r w:rsidR="2C8700C2" w:rsidRPr="43420347">
        <w:rPr>
          <w:rFonts w:ascii="Bookman Old Style" w:hAnsi="Bookman Old Style" w:cs="Arial"/>
          <w:sz w:val="28"/>
          <w:szCs w:val="28"/>
          <w:lang w:val="es-ES"/>
        </w:rPr>
        <w:t>á</w:t>
      </w:r>
      <w:r w:rsidR="4CB553BD" w:rsidRPr="43420347">
        <w:rPr>
          <w:rFonts w:ascii="Bookman Old Style" w:hAnsi="Bookman Old Style" w:cs="Arial"/>
          <w:sz w:val="28"/>
          <w:szCs w:val="28"/>
          <w:lang w:val="es-ES"/>
        </w:rPr>
        <w:t>rqu</w:t>
      </w:r>
      <w:r w:rsidR="26BC1EC9" w:rsidRPr="43420347">
        <w:rPr>
          <w:rFonts w:ascii="Bookman Old Style" w:hAnsi="Bookman Old Style" w:cs="Arial"/>
          <w:sz w:val="28"/>
          <w:szCs w:val="28"/>
          <w:lang w:val="es-ES"/>
        </w:rPr>
        <w:t>e</w:t>
      </w:r>
      <w:r w:rsidR="4CB553BD" w:rsidRPr="43420347">
        <w:rPr>
          <w:rFonts w:ascii="Bookman Old Style" w:hAnsi="Bookman Old Style" w:cs="Arial"/>
          <w:sz w:val="28"/>
          <w:szCs w:val="28"/>
          <w:lang w:val="es-ES"/>
        </w:rPr>
        <w:t>z, Karina María Bechara M</w:t>
      </w:r>
      <w:r w:rsidR="4CFCD629" w:rsidRPr="43420347">
        <w:rPr>
          <w:rFonts w:ascii="Bookman Old Style" w:hAnsi="Bookman Old Style" w:cs="Arial"/>
          <w:sz w:val="28"/>
          <w:szCs w:val="28"/>
          <w:lang w:val="es-ES"/>
        </w:rPr>
        <w:t>árquez</w:t>
      </w:r>
      <w:r w:rsidR="3ED4E0BB" w:rsidRPr="43420347">
        <w:rPr>
          <w:rFonts w:ascii="Bookman Old Style" w:hAnsi="Bookman Old Style" w:cs="Arial"/>
          <w:sz w:val="28"/>
          <w:szCs w:val="28"/>
          <w:lang w:val="es-ES"/>
        </w:rPr>
        <w:t xml:space="preserve"> y Claudia Patricia Bechara Márquez. </w:t>
      </w:r>
    </w:p>
    <w:p w14:paraId="6B20E768" w14:textId="77777777" w:rsidR="00D25756" w:rsidRPr="00D25756" w:rsidRDefault="00D25756" w:rsidP="006C32A9">
      <w:pPr>
        <w:spacing w:line="360" w:lineRule="auto"/>
        <w:jc w:val="both"/>
        <w:rPr>
          <w:rFonts w:ascii="Bookman Old Style" w:hAnsi="Bookman Old Style" w:cs="Arial"/>
          <w:spacing w:val="-10"/>
          <w:sz w:val="28"/>
          <w:szCs w:val="28"/>
        </w:rPr>
      </w:pPr>
    </w:p>
    <w:p w14:paraId="17236592" w14:textId="77777777" w:rsidR="0082489A" w:rsidRPr="001E0045" w:rsidRDefault="0082489A" w:rsidP="006C32A9">
      <w:pPr>
        <w:spacing w:line="360" w:lineRule="auto"/>
        <w:jc w:val="both"/>
        <w:rPr>
          <w:rFonts w:ascii="Bookman Old Style" w:hAnsi="Bookman Old Style"/>
          <w:iCs/>
          <w:spacing w:val="6"/>
          <w:sz w:val="28"/>
          <w:szCs w:val="28"/>
          <w:lang w:val="es-CO"/>
        </w:rPr>
      </w:pPr>
    </w:p>
    <w:p w14:paraId="50B6F6DF" w14:textId="2A6792A7" w:rsidR="00CF03E0" w:rsidRPr="001E0045" w:rsidRDefault="00CF03E0" w:rsidP="006C32A9">
      <w:pPr>
        <w:pStyle w:val="Prrafodelista"/>
        <w:keepNext/>
        <w:numPr>
          <w:ilvl w:val="0"/>
          <w:numId w:val="10"/>
        </w:numPr>
        <w:suppressAutoHyphens/>
        <w:overflowPunct/>
        <w:autoSpaceDE/>
        <w:autoSpaceDN/>
        <w:adjustRightInd/>
        <w:spacing w:line="360" w:lineRule="auto"/>
        <w:ind w:left="0" w:firstLine="709"/>
        <w:contextualSpacing w:val="0"/>
        <w:jc w:val="center"/>
        <w:textAlignment w:val="auto"/>
        <w:outlineLvl w:val="0"/>
        <w:rPr>
          <w:rFonts w:ascii="Bookman Old Style" w:hAnsi="Bookman Old Style" w:cs="Arial"/>
          <w:b/>
          <w:spacing w:val="6"/>
          <w:sz w:val="28"/>
          <w:szCs w:val="28"/>
          <w:lang w:val="es-CO"/>
        </w:rPr>
      </w:pPr>
      <w:r w:rsidRPr="001E0045">
        <w:rPr>
          <w:rFonts w:ascii="Bookman Old Style" w:hAnsi="Bookman Old Style" w:cs="Arial"/>
          <w:b/>
          <w:spacing w:val="6"/>
          <w:sz w:val="28"/>
          <w:szCs w:val="28"/>
          <w:lang w:val="es-CO"/>
        </w:rPr>
        <w:t xml:space="preserve">ANTECEDENTES </w:t>
      </w:r>
    </w:p>
    <w:p w14:paraId="14A550C0" w14:textId="77777777" w:rsidR="0082489A" w:rsidRPr="001E0045" w:rsidRDefault="0082489A" w:rsidP="006C32A9">
      <w:pPr>
        <w:spacing w:line="360" w:lineRule="auto"/>
        <w:jc w:val="both"/>
        <w:rPr>
          <w:rFonts w:ascii="Bookman Old Style" w:hAnsi="Bookman Old Style"/>
          <w:iCs/>
          <w:spacing w:val="6"/>
          <w:sz w:val="28"/>
          <w:szCs w:val="28"/>
          <w:lang w:val="es-CO"/>
        </w:rPr>
      </w:pPr>
    </w:p>
    <w:p w14:paraId="7D8B33F6" w14:textId="39B527D9" w:rsidR="00F22896" w:rsidRPr="001E0045" w:rsidRDefault="000226B8" w:rsidP="006C32A9">
      <w:pPr>
        <w:spacing w:line="360" w:lineRule="auto"/>
        <w:ind w:firstLine="709"/>
        <w:jc w:val="both"/>
        <w:rPr>
          <w:rFonts w:ascii="Bookman Old Style" w:hAnsi="Bookman Old Style"/>
          <w:b/>
          <w:bCs/>
          <w:iCs/>
          <w:spacing w:val="6"/>
          <w:sz w:val="28"/>
          <w:szCs w:val="28"/>
          <w:lang w:val="es-CO"/>
        </w:rPr>
      </w:pPr>
      <w:r w:rsidRPr="001E0045">
        <w:rPr>
          <w:rFonts w:ascii="Bookman Old Style" w:hAnsi="Bookman Old Style"/>
          <w:b/>
          <w:bCs/>
          <w:iCs/>
          <w:spacing w:val="6"/>
          <w:sz w:val="28"/>
          <w:szCs w:val="28"/>
          <w:lang w:val="es-CO"/>
        </w:rPr>
        <w:t xml:space="preserve">2. </w:t>
      </w:r>
      <w:r w:rsidR="00F22896" w:rsidRPr="001E0045">
        <w:rPr>
          <w:rFonts w:ascii="Bookman Old Style" w:hAnsi="Bookman Old Style"/>
          <w:b/>
          <w:bCs/>
          <w:iCs/>
          <w:spacing w:val="6"/>
          <w:sz w:val="28"/>
          <w:szCs w:val="28"/>
          <w:lang w:val="es-CO"/>
        </w:rPr>
        <w:t>F</w:t>
      </w:r>
      <w:r w:rsidR="00B10942">
        <w:rPr>
          <w:rFonts w:ascii="Bookman Old Style" w:hAnsi="Bookman Old Style"/>
          <w:b/>
          <w:bCs/>
          <w:iCs/>
          <w:spacing w:val="6"/>
          <w:sz w:val="28"/>
          <w:szCs w:val="28"/>
          <w:lang w:val="es-CO"/>
        </w:rPr>
        <w:t>á</w:t>
      </w:r>
      <w:r w:rsidR="00F22896" w:rsidRPr="001E0045">
        <w:rPr>
          <w:rFonts w:ascii="Bookman Old Style" w:hAnsi="Bookman Old Style"/>
          <w:b/>
          <w:bCs/>
          <w:iCs/>
          <w:spacing w:val="6"/>
          <w:sz w:val="28"/>
          <w:szCs w:val="28"/>
          <w:lang w:val="es-CO"/>
        </w:rPr>
        <w:t xml:space="preserve">cticos </w:t>
      </w:r>
    </w:p>
    <w:p w14:paraId="384470C6" w14:textId="77777777" w:rsidR="00934051" w:rsidRPr="000F7B29" w:rsidRDefault="00934051" w:rsidP="006C32A9">
      <w:pPr>
        <w:spacing w:line="360" w:lineRule="auto"/>
        <w:jc w:val="both"/>
        <w:rPr>
          <w:rFonts w:ascii="Bookman Old Style" w:hAnsi="Bookman Old Style"/>
          <w:iCs/>
          <w:spacing w:val="6"/>
          <w:sz w:val="28"/>
          <w:szCs w:val="28"/>
          <w:lang w:val="es-CO"/>
        </w:rPr>
      </w:pPr>
    </w:p>
    <w:p w14:paraId="54F39381" w14:textId="77777777" w:rsidR="006C32A9" w:rsidRPr="006C32A9" w:rsidRDefault="009D3C9B" w:rsidP="006C32A9">
      <w:pPr>
        <w:pStyle w:val="Prrafodelista"/>
        <w:numPr>
          <w:ilvl w:val="1"/>
          <w:numId w:val="10"/>
        </w:numPr>
        <w:spacing w:line="360" w:lineRule="auto"/>
        <w:ind w:left="0" w:firstLine="720"/>
        <w:jc w:val="both"/>
        <w:rPr>
          <w:rFonts w:ascii="Bookman Old Style" w:hAnsi="Bookman Old Style"/>
          <w:b/>
          <w:spacing w:val="6"/>
          <w:sz w:val="28"/>
          <w:szCs w:val="28"/>
          <w:lang w:val="es-CO"/>
        </w:rPr>
      </w:pPr>
      <w:r w:rsidRPr="0092284A">
        <w:rPr>
          <w:rFonts w:ascii="Bookman Old Style" w:eastAsiaTheme="majorEastAsia" w:hAnsi="Bookman Old Style" w:cs="Bookman Old Style"/>
          <w:spacing w:val="0"/>
          <w:sz w:val="28"/>
          <w:szCs w:val="28"/>
        </w:rPr>
        <w:t xml:space="preserve">Los hechos que dieron lugar al inicio del trámite extintivo fueron los siguientes: </w:t>
      </w:r>
    </w:p>
    <w:p w14:paraId="578825E9" w14:textId="77777777" w:rsidR="006C32A9" w:rsidRDefault="006C32A9" w:rsidP="006C32A9">
      <w:pPr>
        <w:spacing w:line="360" w:lineRule="auto"/>
        <w:jc w:val="both"/>
        <w:rPr>
          <w:rFonts w:ascii="Bookman Old Style" w:eastAsiaTheme="majorEastAsia" w:hAnsi="Bookman Old Style" w:cs="Bookman Old Style"/>
          <w:spacing w:val="0"/>
          <w:sz w:val="28"/>
          <w:szCs w:val="28"/>
        </w:rPr>
      </w:pPr>
    </w:p>
    <w:p w14:paraId="46733D9F" w14:textId="56D0C5E4" w:rsidR="009D3C9B" w:rsidRDefault="006C32A9" w:rsidP="006C32A9">
      <w:pPr>
        <w:spacing w:line="360" w:lineRule="auto"/>
        <w:ind w:firstLine="708"/>
        <w:jc w:val="both"/>
        <w:rPr>
          <w:rFonts w:ascii="Bookman Old Style" w:eastAsiaTheme="majorEastAsia" w:hAnsi="Bookman Old Style" w:cs="Bookman Old Style"/>
          <w:spacing w:val="0"/>
          <w:sz w:val="28"/>
          <w:szCs w:val="28"/>
        </w:rPr>
      </w:pPr>
      <w:r w:rsidRPr="006C32A9">
        <w:rPr>
          <w:rFonts w:ascii="Bookman Old Style" w:eastAsiaTheme="majorEastAsia" w:hAnsi="Bookman Old Style" w:cs="Bookman Old Style"/>
          <w:spacing w:val="0"/>
          <w:sz w:val="28"/>
          <w:szCs w:val="28"/>
        </w:rPr>
        <w:t xml:space="preserve">Según </w:t>
      </w:r>
      <w:r w:rsidR="009D3C9B" w:rsidRPr="006C32A9">
        <w:rPr>
          <w:rFonts w:ascii="Bookman Old Style" w:eastAsiaTheme="majorEastAsia" w:hAnsi="Bookman Old Style" w:cs="Bookman Old Style"/>
          <w:spacing w:val="0"/>
          <w:sz w:val="28"/>
          <w:szCs w:val="28"/>
        </w:rPr>
        <w:t>informe del área de policía judicial del Departamento Administrativo de Seguridad, Seccional Bolívar, a partir de labores de inteligencia realizadas vía internet se estableció que el 8 de abril de 2003, en desarrollo de la Operación “</w:t>
      </w:r>
      <w:r w:rsidR="009D3C9B" w:rsidRPr="006C32A9">
        <w:rPr>
          <w:rFonts w:ascii="Bookman Old Style" w:eastAsiaTheme="majorEastAsia" w:hAnsi="Bookman Old Style" w:cs="Bookman Old Style"/>
          <w:i/>
          <w:iCs/>
          <w:spacing w:val="0"/>
          <w:sz w:val="28"/>
          <w:szCs w:val="28"/>
        </w:rPr>
        <w:t>Interdicción III”,</w:t>
      </w:r>
      <w:r w:rsidR="009D3C9B" w:rsidRPr="006C32A9">
        <w:rPr>
          <w:rFonts w:ascii="Bookman Old Style" w:eastAsiaTheme="majorEastAsia" w:hAnsi="Bookman Old Style" w:cs="Bookman Old Style"/>
          <w:spacing w:val="0"/>
          <w:sz w:val="28"/>
          <w:szCs w:val="28"/>
        </w:rPr>
        <w:t xml:space="preserve"> llevada a cabo en el poblado Tres Ríos, municipio de Soledad, República de México, unidades adscritas a la Secretaría de Marina de ese país capturaron a seis personas. Entre ellas</w:t>
      </w:r>
      <w:r>
        <w:rPr>
          <w:rFonts w:ascii="Bookman Old Style" w:eastAsiaTheme="majorEastAsia" w:hAnsi="Bookman Old Style" w:cs="Bookman Old Style"/>
          <w:spacing w:val="0"/>
          <w:sz w:val="28"/>
          <w:szCs w:val="28"/>
        </w:rPr>
        <w:t>,</w:t>
      </w:r>
      <w:r w:rsidR="009D3C9B" w:rsidRPr="006C32A9">
        <w:rPr>
          <w:rFonts w:ascii="Bookman Old Style" w:eastAsiaTheme="majorEastAsia" w:hAnsi="Bookman Old Style" w:cs="Bookman Old Style"/>
          <w:spacing w:val="0"/>
          <w:sz w:val="28"/>
          <w:szCs w:val="28"/>
        </w:rPr>
        <w:t xml:space="preserve"> se encontraban cuatro ciudadanos colombianos, identificados como JULIO CÉSAR BECHARA MÁRQUEZ, SENEN ORLANDO CRUZ MEDINA, </w:t>
      </w:r>
      <w:proofErr w:type="spellStart"/>
      <w:r w:rsidR="009D3C9B" w:rsidRPr="006C32A9">
        <w:rPr>
          <w:rFonts w:ascii="Bookman Old Style" w:eastAsiaTheme="majorEastAsia" w:hAnsi="Bookman Old Style" w:cs="Bookman Old Style"/>
          <w:spacing w:val="0"/>
          <w:sz w:val="28"/>
          <w:szCs w:val="28"/>
        </w:rPr>
        <w:t>Teoclides</w:t>
      </w:r>
      <w:proofErr w:type="spellEnd"/>
      <w:r w:rsidR="009D3C9B" w:rsidRPr="006C32A9">
        <w:rPr>
          <w:rFonts w:ascii="Bookman Old Style" w:eastAsiaTheme="majorEastAsia" w:hAnsi="Bookman Old Style" w:cs="Bookman Old Style"/>
          <w:spacing w:val="0"/>
          <w:sz w:val="28"/>
          <w:szCs w:val="28"/>
        </w:rPr>
        <w:t xml:space="preserve"> García Contreras y Andrés García Contreras, quienes pretendían ocultar una embarcación tipo </w:t>
      </w:r>
      <w:r w:rsidR="009D3C9B" w:rsidRPr="006C32A9">
        <w:rPr>
          <w:rFonts w:ascii="Bookman Old Style" w:eastAsiaTheme="majorEastAsia" w:hAnsi="Bookman Old Style" w:cs="Bookman Old Style"/>
          <w:i/>
          <w:iCs/>
          <w:spacing w:val="0"/>
          <w:sz w:val="28"/>
          <w:szCs w:val="28"/>
        </w:rPr>
        <w:t>“</w:t>
      </w:r>
      <w:proofErr w:type="spellStart"/>
      <w:r w:rsidR="009D3C9B" w:rsidRPr="006C32A9">
        <w:rPr>
          <w:rFonts w:ascii="Bookman Old Style" w:eastAsiaTheme="majorEastAsia" w:hAnsi="Bookman Old Style" w:cs="Bookman Old Style"/>
          <w:i/>
          <w:iCs/>
          <w:spacing w:val="0"/>
          <w:sz w:val="28"/>
          <w:szCs w:val="28"/>
        </w:rPr>
        <w:t>go</w:t>
      </w:r>
      <w:proofErr w:type="spellEnd"/>
      <w:r w:rsidR="009D3C9B" w:rsidRPr="006C32A9">
        <w:rPr>
          <w:rFonts w:ascii="Bookman Old Style" w:eastAsiaTheme="majorEastAsia" w:hAnsi="Bookman Old Style" w:cs="Bookman Old Style"/>
          <w:i/>
          <w:iCs/>
          <w:spacing w:val="0"/>
          <w:sz w:val="28"/>
          <w:szCs w:val="28"/>
        </w:rPr>
        <w:t xml:space="preserve"> </w:t>
      </w:r>
      <w:proofErr w:type="spellStart"/>
      <w:r w:rsidR="009D3C9B" w:rsidRPr="006C32A9">
        <w:rPr>
          <w:rFonts w:ascii="Bookman Old Style" w:eastAsiaTheme="majorEastAsia" w:hAnsi="Bookman Old Style" w:cs="Bookman Old Style"/>
          <w:i/>
          <w:iCs/>
          <w:spacing w:val="0"/>
          <w:sz w:val="28"/>
          <w:szCs w:val="28"/>
        </w:rPr>
        <w:t>fast</w:t>
      </w:r>
      <w:proofErr w:type="spellEnd"/>
      <w:r w:rsidR="009D3C9B" w:rsidRPr="006C32A9">
        <w:rPr>
          <w:rFonts w:ascii="Bookman Old Style" w:eastAsiaTheme="majorEastAsia" w:hAnsi="Bookman Old Style" w:cs="Bookman Old Style"/>
          <w:i/>
          <w:iCs/>
          <w:spacing w:val="0"/>
          <w:sz w:val="28"/>
          <w:szCs w:val="28"/>
        </w:rPr>
        <w:t>”</w:t>
      </w:r>
      <w:r w:rsidR="009D3C9B" w:rsidRPr="006C32A9">
        <w:rPr>
          <w:rFonts w:ascii="Bookman Old Style" w:eastAsiaTheme="majorEastAsia" w:hAnsi="Bookman Old Style" w:cs="Bookman Old Style"/>
          <w:spacing w:val="0"/>
          <w:sz w:val="28"/>
          <w:szCs w:val="28"/>
        </w:rPr>
        <w:t xml:space="preserve"> con 70 bultos que contenían 1.957 kilogramos de cocaína</w:t>
      </w:r>
      <w:r w:rsidR="009D7FCD">
        <w:rPr>
          <w:rStyle w:val="Refdenotaalpie"/>
          <w:rFonts w:ascii="Bookman Old Style" w:eastAsiaTheme="majorEastAsia" w:hAnsi="Bookman Old Style" w:cs="Bookman Old Style"/>
          <w:spacing w:val="0"/>
          <w:sz w:val="28"/>
          <w:szCs w:val="28"/>
        </w:rPr>
        <w:footnoteReference w:id="1"/>
      </w:r>
      <w:r w:rsidR="009D3C9B" w:rsidRPr="006C32A9">
        <w:rPr>
          <w:rFonts w:ascii="Bookman Old Style" w:eastAsiaTheme="majorEastAsia" w:hAnsi="Bookman Old Style" w:cs="Bookman Old Style"/>
          <w:spacing w:val="0"/>
          <w:sz w:val="28"/>
          <w:szCs w:val="28"/>
        </w:rPr>
        <w:t>.</w:t>
      </w:r>
      <w:r>
        <w:rPr>
          <w:rFonts w:ascii="Bookman Old Style" w:eastAsiaTheme="majorEastAsia" w:hAnsi="Bookman Old Style" w:cs="Bookman Old Style"/>
          <w:spacing w:val="0"/>
          <w:sz w:val="28"/>
          <w:szCs w:val="28"/>
        </w:rPr>
        <w:t xml:space="preserve"> </w:t>
      </w:r>
    </w:p>
    <w:p w14:paraId="4A29FD2E" w14:textId="47E29B09" w:rsidR="006C32A9" w:rsidRDefault="006C32A9" w:rsidP="006C32A9">
      <w:pPr>
        <w:spacing w:line="360" w:lineRule="auto"/>
        <w:ind w:firstLine="708"/>
        <w:jc w:val="both"/>
        <w:rPr>
          <w:rFonts w:ascii="Bookman Old Style" w:hAnsi="Bookman Old Style"/>
          <w:b/>
          <w:spacing w:val="6"/>
          <w:sz w:val="28"/>
          <w:szCs w:val="28"/>
          <w:lang w:val="es-CO"/>
        </w:rPr>
      </w:pPr>
    </w:p>
    <w:p w14:paraId="5B62937E" w14:textId="38E325E8" w:rsidR="006C32A9" w:rsidRPr="009D7FCD" w:rsidRDefault="006C32A9" w:rsidP="006C32A9">
      <w:pPr>
        <w:spacing w:line="360" w:lineRule="auto"/>
        <w:ind w:firstLine="708"/>
        <w:jc w:val="both"/>
        <w:rPr>
          <w:rFonts w:ascii="Bookman Old Style" w:hAnsi="Bookman Old Style"/>
          <w:iCs/>
          <w:spacing w:val="6"/>
          <w:sz w:val="28"/>
          <w:szCs w:val="28"/>
          <w:lang w:val="es-CO"/>
        </w:rPr>
      </w:pPr>
      <w:r w:rsidRPr="009D7FCD">
        <w:rPr>
          <w:rFonts w:ascii="Bookman Old Style" w:hAnsi="Bookman Old Style"/>
          <w:iCs/>
          <w:spacing w:val="6"/>
          <w:sz w:val="28"/>
          <w:szCs w:val="28"/>
          <w:lang w:val="es-CO"/>
        </w:rPr>
        <w:lastRenderedPageBreak/>
        <w:t xml:space="preserve">Por estos hechos se inició </w:t>
      </w:r>
      <w:r w:rsidR="009D7FCD" w:rsidRPr="009D7FCD">
        <w:rPr>
          <w:rFonts w:ascii="Bookman Old Style" w:hAnsi="Bookman Old Style"/>
          <w:iCs/>
          <w:spacing w:val="6"/>
          <w:sz w:val="28"/>
          <w:szCs w:val="28"/>
          <w:lang w:val="es-CO"/>
        </w:rPr>
        <w:t xml:space="preserve">la investigación preliminar número 58.236, por el delito de </w:t>
      </w:r>
      <w:r w:rsidR="009D7FCD" w:rsidRPr="009D7FCD">
        <w:rPr>
          <w:rFonts w:ascii="Bookman Old Style" w:hAnsi="Bookman Old Style"/>
          <w:i/>
          <w:spacing w:val="6"/>
          <w:sz w:val="28"/>
          <w:szCs w:val="28"/>
          <w:lang w:val="es-CO"/>
        </w:rPr>
        <w:t>tráfico, fabricación o porte de estupefacientes</w:t>
      </w:r>
      <w:r w:rsidR="009D7FCD">
        <w:rPr>
          <w:rStyle w:val="Refdenotaalpie"/>
          <w:rFonts w:ascii="Bookman Old Style" w:hAnsi="Bookman Old Style"/>
          <w:i/>
          <w:spacing w:val="6"/>
          <w:sz w:val="28"/>
          <w:szCs w:val="28"/>
          <w:lang w:val="es-CO"/>
        </w:rPr>
        <w:footnoteReference w:id="2"/>
      </w:r>
      <w:r w:rsidR="009D7FCD" w:rsidRPr="009D7FCD">
        <w:rPr>
          <w:rFonts w:ascii="Bookman Old Style" w:hAnsi="Bookman Old Style"/>
          <w:i/>
          <w:spacing w:val="6"/>
          <w:sz w:val="28"/>
          <w:szCs w:val="28"/>
          <w:lang w:val="es-CO"/>
        </w:rPr>
        <w:t xml:space="preserve">. </w:t>
      </w:r>
    </w:p>
    <w:p w14:paraId="4FD10D51" w14:textId="77777777" w:rsidR="009D3C9B" w:rsidRPr="009D3C9B" w:rsidRDefault="009D3C9B" w:rsidP="006C32A9">
      <w:pPr>
        <w:pStyle w:val="Prrafodelista"/>
        <w:spacing w:line="360" w:lineRule="auto"/>
        <w:ind w:left="709"/>
        <w:rPr>
          <w:rFonts w:ascii="Bookman Old Style" w:hAnsi="Bookman Old Style"/>
          <w:b/>
          <w:spacing w:val="6"/>
          <w:sz w:val="28"/>
          <w:szCs w:val="28"/>
          <w:lang w:val="es-CO"/>
        </w:rPr>
      </w:pPr>
    </w:p>
    <w:p w14:paraId="43E9244B" w14:textId="645E2545" w:rsidR="001076EF" w:rsidRPr="001D5366" w:rsidRDefault="006C5221" w:rsidP="006C32A9">
      <w:pPr>
        <w:pStyle w:val="Prrafodelista"/>
        <w:numPr>
          <w:ilvl w:val="0"/>
          <w:numId w:val="26"/>
        </w:numPr>
        <w:spacing w:line="360" w:lineRule="auto"/>
        <w:rPr>
          <w:rFonts w:ascii="Bookman Old Style" w:hAnsi="Bookman Old Style"/>
          <w:b/>
          <w:spacing w:val="6"/>
          <w:sz w:val="28"/>
          <w:szCs w:val="28"/>
          <w:lang w:val="es-CO"/>
        </w:rPr>
      </w:pPr>
      <w:r w:rsidRPr="001D5366">
        <w:rPr>
          <w:rFonts w:ascii="Bookman Old Style" w:hAnsi="Bookman Old Style"/>
          <w:b/>
          <w:spacing w:val="6"/>
          <w:sz w:val="28"/>
          <w:szCs w:val="28"/>
          <w:lang w:val="es-CO"/>
        </w:rPr>
        <w:t>Procesales</w:t>
      </w:r>
    </w:p>
    <w:p w14:paraId="04F9203B" w14:textId="77777777" w:rsidR="00934051" w:rsidRPr="000F7B29" w:rsidRDefault="00934051" w:rsidP="006C32A9">
      <w:pPr>
        <w:spacing w:line="360" w:lineRule="auto"/>
        <w:rPr>
          <w:rFonts w:ascii="Bookman Old Style" w:hAnsi="Bookman Old Style"/>
          <w:bCs/>
          <w:spacing w:val="6"/>
          <w:sz w:val="28"/>
          <w:szCs w:val="28"/>
          <w:lang w:val="es-CO"/>
        </w:rPr>
      </w:pPr>
    </w:p>
    <w:p w14:paraId="0332A572" w14:textId="05EA1E3E" w:rsidR="00094E7E" w:rsidRPr="006517BE" w:rsidRDefault="006517BE" w:rsidP="00133E23">
      <w:pPr>
        <w:pStyle w:val="Style9"/>
        <w:widowControl/>
        <w:numPr>
          <w:ilvl w:val="1"/>
          <w:numId w:val="26"/>
        </w:numPr>
        <w:tabs>
          <w:tab w:val="left" w:pos="1109"/>
        </w:tabs>
        <w:spacing w:line="360" w:lineRule="auto"/>
        <w:ind w:left="0" w:firstLine="720"/>
        <w:rPr>
          <w:rStyle w:val="FontStyle24"/>
          <w:rFonts w:eastAsiaTheme="majorEastAsia"/>
          <w:sz w:val="28"/>
          <w:szCs w:val="28"/>
        </w:rPr>
      </w:pPr>
      <w:r w:rsidRPr="006517BE">
        <w:rPr>
          <w:rStyle w:val="FontStyle24"/>
          <w:rFonts w:eastAsiaTheme="majorEastAsia"/>
          <w:sz w:val="28"/>
          <w:szCs w:val="28"/>
        </w:rPr>
        <w:t xml:space="preserve">Conforme los parámetros de la </w:t>
      </w:r>
      <w:r w:rsidRPr="006517BE">
        <w:rPr>
          <w:rFonts w:eastAsiaTheme="majorEastAsia" w:cs="Bookman Old Style"/>
          <w:sz w:val="28"/>
          <w:szCs w:val="28"/>
          <w:lang w:eastAsia="es-ES_tradnl"/>
        </w:rPr>
        <w:t>Ley 793 de 2002</w:t>
      </w:r>
      <w:r>
        <w:rPr>
          <w:rStyle w:val="Refdenotaalpie"/>
          <w:rFonts w:eastAsiaTheme="majorEastAsia" w:cs="Bookman Old Style"/>
          <w:sz w:val="28"/>
          <w:szCs w:val="28"/>
          <w:lang w:eastAsia="es-ES_tradnl"/>
        </w:rPr>
        <w:footnoteReference w:id="3"/>
      </w:r>
      <w:r w:rsidRPr="006517BE">
        <w:rPr>
          <w:rFonts w:eastAsiaTheme="majorEastAsia" w:cs="Bookman Old Style"/>
          <w:sz w:val="28"/>
          <w:szCs w:val="28"/>
          <w:lang w:eastAsia="es-ES_tradnl"/>
        </w:rPr>
        <w:t xml:space="preserve">, </w:t>
      </w:r>
      <w:r>
        <w:rPr>
          <w:rFonts w:eastAsiaTheme="majorEastAsia" w:cs="Bookman Old Style"/>
          <w:sz w:val="28"/>
          <w:szCs w:val="28"/>
          <w:lang w:eastAsia="es-ES_tradnl"/>
        </w:rPr>
        <w:t>e</w:t>
      </w:r>
      <w:r w:rsidR="00FF1864" w:rsidRPr="006517BE">
        <w:rPr>
          <w:rStyle w:val="FontStyle24"/>
          <w:rFonts w:eastAsiaTheme="majorEastAsia"/>
          <w:sz w:val="28"/>
          <w:szCs w:val="28"/>
        </w:rPr>
        <w:t xml:space="preserve">l Juzgado Tercero Penal </w:t>
      </w:r>
      <w:r w:rsidR="15448EB4" w:rsidRPr="006517BE">
        <w:rPr>
          <w:rStyle w:val="FontStyle24"/>
          <w:rFonts w:eastAsiaTheme="majorEastAsia"/>
          <w:sz w:val="28"/>
          <w:szCs w:val="28"/>
        </w:rPr>
        <w:t xml:space="preserve">del Circuito </w:t>
      </w:r>
      <w:r w:rsidR="00FF1864" w:rsidRPr="006517BE">
        <w:rPr>
          <w:rStyle w:val="FontStyle24"/>
          <w:rFonts w:eastAsiaTheme="majorEastAsia"/>
          <w:sz w:val="28"/>
          <w:szCs w:val="28"/>
        </w:rPr>
        <w:t>Especializado de</w:t>
      </w:r>
      <w:r w:rsidR="111DE486" w:rsidRPr="006517BE">
        <w:rPr>
          <w:rStyle w:val="FontStyle24"/>
          <w:rFonts w:eastAsiaTheme="majorEastAsia"/>
          <w:sz w:val="28"/>
          <w:szCs w:val="28"/>
        </w:rPr>
        <w:t xml:space="preserve"> Extinción de Dominio</w:t>
      </w:r>
      <w:r w:rsidR="00FF1864" w:rsidRPr="006517BE">
        <w:rPr>
          <w:rStyle w:val="FontStyle24"/>
          <w:rFonts w:eastAsiaTheme="majorEastAsia"/>
          <w:sz w:val="28"/>
          <w:szCs w:val="28"/>
        </w:rPr>
        <w:t xml:space="preserve"> de Bogotá, mediante sentencia del </w:t>
      </w:r>
      <w:r w:rsidR="5D032C99" w:rsidRPr="006517BE">
        <w:rPr>
          <w:rStyle w:val="FontStyle24"/>
          <w:rFonts w:eastAsiaTheme="majorEastAsia"/>
          <w:sz w:val="28"/>
          <w:szCs w:val="28"/>
        </w:rPr>
        <w:t>30 de enero de 2012</w:t>
      </w:r>
      <w:r w:rsidR="23AFEECA" w:rsidRPr="006517BE">
        <w:rPr>
          <w:rStyle w:val="FontStyle24"/>
          <w:rFonts w:eastAsiaTheme="majorEastAsia"/>
          <w:sz w:val="28"/>
          <w:szCs w:val="28"/>
        </w:rPr>
        <w:t>,</w:t>
      </w:r>
      <w:r w:rsidR="00FF1864" w:rsidRPr="006517BE">
        <w:rPr>
          <w:rStyle w:val="FontStyle24"/>
          <w:rFonts w:eastAsiaTheme="majorEastAsia"/>
          <w:sz w:val="28"/>
          <w:szCs w:val="28"/>
        </w:rPr>
        <w:t xml:space="preserve"> </w:t>
      </w:r>
      <w:r w:rsidR="6A3D23A4" w:rsidRPr="006517BE">
        <w:rPr>
          <w:rStyle w:val="FontStyle24"/>
          <w:rFonts w:eastAsiaTheme="majorEastAsia"/>
          <w:sz w:val="28"/>
          <w:szCs w:val="28"/>
        </w:rPr>
        <w:t>resolvió negar la extinción del derecho de dominio respecto de 9 inmuebles, 3 sociedades y 1 embarcación</w:t>
      </w:r>
      <w:r w:rsidRPr="006517BE">
        <w:rPr>
          <w:rStyle w:val="FontStyle24"/>
          <w:rFonts w:eastAsiaTheme="majorEastAsia"/>
          <w:sz w:val="28"/>
          <w:szCs w:val="28"/>
        </w:rPr>
        <w:t>;</w:t>
      </w:r>
      <w:r w:rsidR="6A3D23A4" w:rsidRPr="006517BE">
        <w:rPr>
          <w:rStyle w:val="FontStyle24"/>
          <w:rFonts w:eastAsiaTheme="majorEastAsia"/>
          <w:sz w:val="28"/>
          <w:szCs w:val="28"/>
        </w:rPr>
        <w:t xml:space="preserve"> entre </w:t>
      </w:r>
      <w:r w:rsidR="4DBAA87C" w:rsidRPr="006517BE">
        <w:rPr>
          <w:rStyle w:val="FontStyle24"/>
          <w:rFonts w:eastAsiaTheme="majorEastAsia"/>
          <w:sz w:val="28"/>
          <w:szCs w:val="28"/>
        </w:rPr>
        <w:t>ellos</w:t>
      </w:r>
      <w:r w:rsidRPr="006517BE">
        <w:rPr>
          <w:rStyle w:val="FontStyle24"/>
          <w:rFonts w:eastAsiaTheme="majorEastAsia"/>
          <w:sz w:val="28"/>
          <w:szCs w:val="28"/>
        </w:rPr>
        <w:t>,</w:t>
      </w:r>
      <w:r w:rsidR="4DBAA87C" w:rsidRPr="006517BE">
        <w:rPr>
          <w:rStyle w:val="FontStyle24"/>
          <w:rFonts w:eastAsiaTheme="majorEastAsia"/>
          <w:sz w:val="28"/>
          <w:szCs w:val="28"/>
        </w:rPr>
        <w:t xml:space="preserve"> los bienes identificados con los folios de matrícula inmobiliaria </w:t>
      </w:r>
      <w:r w:rsidR="006C32A9" w:rsidRPr="006517BE">
        <w:rPr>
          <w:rStyle w:val="FontStyle24"/>
          <w:rFonts w:eastAsiaTheme="majorEastAsia"/>
          <w:sz w:val="28"/>
          <w:szCs w:val="28"/>
        </w:rPr>
        <w:t>N</w:t>
      </w:r>
      <w:r w:rsidR="4DBAA87C" w:rsidRPr="006517BE">
        <w:rPr>
          <w:rStyle w:val="FontStyle24"/>
          <w:rFonts w:eastAsiaTheme="majorEastAsia"/>
          <w:sz w:val="28"/>
          <w:szCs w:val="28"/>
        </w:rPr>
        <w:t>ro.</w:t>
      </w:r>
      <w:r w:rsidR="3D4959F9" w:rsidRPr="006517BE">
        <w:rPr>
          <w:rStyle w:val="FontStyle24"/>
          <w:rFonts w:eastAsiaTheme="majorEastAsia"/>
          <w:sz w:val="28"/>
          <w:szCs w:val="28"/>
        </w:rPr>
        <w:t xml:space="preserve"> 060-152339, 060-152340, 060-152341</w:t>
      </w:r>
      <w:r w:rsidR="63C1BBAD" w:rsidRPr="006517BE">
        <w:rPr>
          <w:rStyle w:val="FontStyle24"/>
          <w:rFonts w:eastAsiaTheme="majorEastAsia"/>
          <w:sz w:val="28"/>
          <w:szCs w:val="28"/>
        </w:rPr>
        <w:t>, 060-</w:t>
      </w:r>
      <w:r w:rsidR="273B12CF" w:rsidRPr="006517BE">
        <w:rPr>
          <w:rStyle w:val="FontStyle24"/>
          <w:rFonts w:eastAsiaTheme="majorEastAsia"/>
          <w:sz w:val="28"/>
          <w:szCs w:val="28"/>
        </w:rPr>
        <w:t>152342, 060</w:t>
      </w:r>
      <w:r w:rsidR="63C1BBAD" w:rsidRPr="006517BE">
        <w:rPr>
          <w:rStyle w:val="FontStyle24"/>
          <w:rFonts w:eastAsiaTheme="majorEastAsia"/>
          <w:sz w:val="28"/>
          <w:szCs w:val="28"/>
        </w:rPr>
        <w:t>-152</w:t>
      </w:r>
      <w:r w:rsidR="78C96971" w:rsidRPr="006517BE">
        <w:rPr>
          <w:rStyle w:val="FontStyle24"/>
          <w:rFonts w:eastAsiaTheme="majorEastAsia"/>
          <w:sz w:val="28"/>
          <w:szCs w:val="28"/>
        </w:rPr>
        <w:t xml:space="preserve">343, </w:t>
      </w:r>
      <w:r w:rsidR="4930957D" w:rsidRPr="006517BE">
        <w:rPr>
          <w:rStyle w:val="FontStyle24"/>
          <w:rFonts w:eastAsiaTheme="majorEastAsia"/>
          <w:sz w:val="28"/>
          <w:szCs w:val="28"/>
        </w:rPr>
        <w:t>060-152348 y 060-152349</w:t>
      </w:r>
      <w:r w:rsidR="00FF1864" w:rsidRPr="006517BE">
        <w:rPr>
          <w:rStyle w:val="FontStyle24"/>
          <w:rFonts w:eastAsiaTheme="majorEastAsia"/>
        </w:rPr>
        <w:t>.</w:t>
      </w:r>
    </w:p>
    <w:p w14:paraId="5FB00F3F" w14:textId="77777777" w:rsidR="00094E7E" w:rsidRDefault="00094E7E" w:rsidP="006C32A9">
      <w:pPr>
        <w:pStyle w:val="Style9"/>
        <w:widowControl/>
        <w:tabs>
          <w:tab w:val="left" w:pos="1109"/>
        </w:tabs>
        <w:spacing w:line="360" w:lineRule="auto"/>
        <w:ind w:firstLine="720"/>
        <w:rPr>
          <w:rStyle w:val="FontStyle24"/>
          <w:rFonts w:eastAsiaTheme="majorEastAsia"/>
          <w:sz w:val="28"/>
          <w:szCs w:val="28"/>
        </w:rPr>
      </w:pPr>
    </w:p>
    <w:p w14:paraId="4228C875" w14:textId="1B25F735" w:rsidR="00FF1864" w:rsidRPr="00094E7E" w:rsidRDefault="305C4B0B" w:rsidP="006C32A9">
      <w:pPr>
        <w:pStyle w:val="Style9"/>
        <w:widowControl/>
        <w:numPr>
          <w:ilvl w:val="1"/>
          <w:numId w:val="26"/>
        </w:numPr>
        <w:tabs>
          <w:tab w:val="left" w:pos="1109"/>
        </w:tabs>
        <w:spacing w:line="360" w:lineRule="auto"/>
        <w:ind w:left="0" w:firstLine="720"/>
        <w:rPr>
          <w:rStyle w:val="FontStyle24"/>
          <w:rFonts w:eastAsiaTheme="majorEastAsia"/>
          <w:sz w:val="28"/>
          <w:szCs w:val="28"/>
        </w:rPr>
      </w:pPr>
      <w:r w:rsidRPr="00094E7E">
        <w:rPr>
          <w:rStyle w:val="FontStyle24"/>
          <w:rFonts w:eastAsiaTheme="majorEastAsia"/>
          <w:sz w:val="28"/>
          <w:szCs w:val="28"/>
        </w:rPr>
        <w:t xml:space="preserve">La decisión fue remitida </w:t>
      </w:r>
      <w:r w:rsidR="001600F8" w:rsidRPr="00094E7E">
        <w:rPr>
          <w:rStyle w:val="FontStyle24"/>
          <w:rFonts w:eastAsiaTheme="majorEastAsia"/>
          <w:sz w:val="28"/>
          <w:szCs w:val="28"/>
        </w:rPr>
        <w:t xml:space="preserve">en grado jurisdiccional de consulta </w:t>
      </w:r>
      <w:r w:rsidRPr="00094E7E">
        <w:rPr>
          <w:rStyle w:val="FontStyle24"/>
          <w:rFonts w:eastAsiaTheme="majorEastAsia"/>
          <w:sz w:val="28"/>
          <w:szCs w:val="28"/>
        </w:rPr>
        <w:t xml:space="preserve">a </w:t>
      </w:r>
      <w:r w:rsidR="4AAD7CA6" w:rsidRPr="00094E7E">
        <w:rPr>
          <w:rStyle w:val="FontStyle24"/>
          <w:rFonts w:eastAsiaTheme="majorEastAsia"/>
          <w:sz w:val="28"/>
          <w:szCs w:val="28"/>
        </w:rPr>
        <w:t>la Sala Especializada de Extinción de Dominio del Tribunal Superior de Bogotá</w:t>
      </w:r>
      <w:r w:rsidR="02AAF23B" w:rsidRPr="00094E7E">
        <w:rPr>
          <w:rStyle w:val="FontStyle24"/>
          <w:rFonts w:eastAsiaTheme="majorEastAsia"/>
          <w:sz w:val="28"/>
          <w:szCs w:val="28"/>
        </w:rPr>
        <w:t>, qu</w:t>
      </w:r>
      <w:r w:rsidR="4D8DF45E" w:rsidRPr="00094E7E">
        <w:rPr>
          <w:rStyle w:val="FontStyle24"/>
          <w:rFonts w:eastAsiaTheme="majorEastAsia"/>
          <w:sz w:val="28"/>
          <w:szCs w:val="28"/>
        </w:rPr>
        <w:t>e</w:t>
      </w:r>
      <w:r w:rsidR="02AAF23B" w:rsidRPr="00094E7E">
        <w:rPr>
          <w:rStyle w:val="FontStyle24"/>
          <w:rFonts w:eastAsiaTheme="majorEastAsia"/>
          <w:sz w:val="28"/>
          <w:szCs w:val="28"/>
        </w:rPr>
        <w:t xml:space="preserve"> mediante </w:t>
      </w:r>
      <w:r w:rsidR="3844977D" w:rsidRPr="00094E7E">
        <w:rPr>
          <w:rStyle w:val="FontStyle24"/>
          <w:rFonts w:eastAsiaTheme="majorEastAsia"/>
          <w:sz w:val="28"/>
          <w:szCs w:val="28"/>
        </w:rPr>
        <w:t>sentencia</w:t>
      </w:r>
      <w:r w:rsidR="02AAF23B" w:rsidRPr="00094E7E">
        <w:rPr>
          <w:rStyle w:val="FontStyle24"/>
          <w:rFonts w:eastAsiaTheme="majorEastAsia"/>
          <w:sz w:val="28"/>
          <w:szCs w:val="28"/>
        </w:rPr>
        <w:t xml:space="preserve"> del 16 de diciembre de 2014</w:t>
      </w:r>
      <w:r w:rsidR="006517BE">
        <w:rPr>
          <w:rStyle w:val="FontStyle24"/>
          <w:rFonts w:eastAsiaTheme="majorEastAsia"/>
          <w:sz w:val="28"/>
          <w:szCs w:val="28"/>
        </w:rPr>
        <w:t>,</w:t>
      </w:r>
      <w:r w:rsidR="02AAF23B" w:rsidRPr="00094E7E">
        <w:rPr>
          <w:rStyle w:val="FontStyle24"/>
          <w:rFonts w:eastAsiaTheme="majorEastAsia"/>
          <w:sz w:val="28"/>
          <w:szCs w:val="28"/>
        </w:rPr>
        <w:t xml:space="preserve"> resolvió:</w:t>
      </w:r>
    </w:p>
    <w:p w14:paraId="670A8E22" w14:textId="2A2EF203" w:rsidR="43420347" w:rsidRDefault="43420347" w:rsidP="006C32A9">
      <w:pPr>
        <w:pStyle w:val="Style9"/>
        <w:widowControl/>
        <w:tabs>
          <w:tab w:val="left" w:pos="1109"/>
        </w:tabs>
        <w:spacing w:line="360" w:lineRule="auto"/>
        <w:ind w:right="82"/>
        <w:contextualSpacing/>
        <w:rPr>
          <w:rStyle w:val="FontStyle24"/>
          <w:rFonts w:eastAsiaTheme="majorEastAsia"/>
          <w:sz w:val="28"/>
          <w:szCs w:val="28"/>
        </w:rPr>
      </w:pPr>
    </w:p>
    <w:p w14:paraId="72037F69" w14:textId="6651194C" w:rsidR="4CE02E3C" w:rsidRDefault="4CE02E3C" w:rsidP="006C32A9">
      <w:pPr>
        <w:pStyle w:val="Style9"/>
        <w:widowControl/>
        <w:tabs>
          <w:tab w:val="left" w:pos="1109"/>
        </w:tabs>
        <w:spacing w:line="360" w:lineRule="auto"/>
        <w:ind w:left="708" w:right="82" w:firstLine="0"/>
        <w:contextualSpacing/>
        <w:rPr>
          <w:rStyle w:val="FontStyle24"/>
          <w:rFonts w:eastAsiaTheme="majorEastAsia"/>
          <w:i/>
          <w:iCs/>
        </w:rPr>
      </w:pPr>
      <w:r w:rsidRPr="43420347">
        <w:rPr>
          <w:rStyle w:val="FontStyle24"/>
          <w:rFonts w:eastAsiaTheme="majorEastAsia"/>
          <w:i/>
          <w:iCs/>
        </w:rPr>
        <w:t>“PRIMERO</w:t>
      </w:r>
      <w:r w:rsidR="0046F152" w:rsidRPr="43420347">
        <w:rPr>
          <w:rStyle w:val="FontStyle24"/>
          <w:rFonts w:eastAsiaTheme="majorEastAsia"/>
          <w:i/>
          <w:iCs/>
        </w:rPr>
        <w:t>.-</w:t>
      </w:r>
      <w:r w:rsidRPr="43420347">
        <w:rPr>
          <w:rStyle w:val="FontStyle24"/>
          <w:rFonts w:eastAsiaTheme="majorEastAsia"/>
          <w:i/>
          <w:iCs/>
        </w:rPr>
        <w:t xml:space="preserve"> REVOCAR PARCIALMENTE el numeral primero de la parte resolutiva de la sentencia proferida el 30 de enero de 2012 por el Juzgado Tercero Penal del Circuito Especializado</w:t>
      </w:r>
      <w:r w:rsidR="1CE2798A" w:rsidRPr="43420347">
        <w:rPr>
          <w:rStyle w:val="FontStyle24"/>
          <w:rFonts w:eastAsiaTheme="majorEastAsia"/>
          <w:i/>
          <w:iCs/>
        </w:rPr>
        <w:t xml:space="preserve"> de Bogotá, en el sentido de DECRETAR LA EXTINCIÓN DE DOMINIO respecto de los siguientes bienes: i) los inmuebles identificados con las matrículas inmobiliarias números 060-152342, 060-152343, 060-152348 y 06</w:t>
      </w:r>
      <w:r w:rsidR="090C2FBE" w:rsidRPr="43420347">
        <w:rPr>
          <w:rStyle w:val="FontStyle24"/>
          <w:rFonts w:eastAsiaTheme="majorEastAsia"/>
          <w:i/>
          <w:iCs/>
        </w:rPr>
        <w:t xml:space="preserve">0-152349 de la Oficina de Registros Públicos de Cartagena localizados en la Finca </w:t>
      </w:r>
      <w:proofErr w:type="spellStart"/>
      <w:r w:rsidR="090C2FBE" w:rsidRPr="43420347">
        <w:rPr>
          <w:rStyle w:val="FontStyle24"/>
          <w:rFonts w:eastAsiaTheme="majorEastAsia"/>
          <w:i/>
          <w:iCs/>
        </w:rPr>
        <w:t>Costalinda</w:t>
      </w:r>
      <w:proofErr w:type="spellEnd"/>
      <w:r w:rsidR="090C2FBE" w:rsidRPr="43420347">
        <w:rPr>
          <w:rStyle w:val="FontStyle24"/>
          <w:rFonts w:eastAsiaTheme="majorEastAsia"/>
          <w:i/>
          <w:iCs/>
        </w:rPr>
        <w:t xml:space="preserve">, </w:t>
      </w:r>
      <w:r w:rsidR="090C2FBE" w:rsidRPr="43420347">
        <w:rPr>
          <w:rStyle w:val="FontStyle24"/>
          <w:rFonts w:eastAsiaTheme="majorEastAsia"/>
          <w:i/>
          <w:iCs/>
        </w:rPr>
        <w:lastRenderedPageBreak/>
        <w:t>Manzanillo del Mar, La Boquilla, propiedad de JULIO CÉSAR BECHARA</w:t>
      </w:r>
      <w:r w:rsidR="010C18FD" w:rsidRPr="43420347">
        <w:rPr>
          <w:rStyle w:val="FontStyle24"/>
          <w:rFonts w:eastAsiaTheme="majorEastAsia"/>
          <w:i/>
          <w:iCs/>
        </w:rPr>
        <w:t xml:space="preserve">; </w:t>
      </w:r>
      <w:proofErr w:type="spellStart"/>
      <w:r w:rsidR="010C18FD" w:rsidRPr="43420347">
        <w:rPr>
          <w:rStyle w:val="FontStyle24"/>
          <w:rFonts w:eastAsiaTheme="majorEastAsia"/>
          <w:i/>
          <w:iCs/>
        </w:rPr>
        <w:t>ii</w:t>
      </w:r>
      <w:proofErr w:type="spellEnd"/>
      <w:r w:rsidR="010C18FD" w:rsidRPr="43420347">
        <w:rPr>
          <w:rStyle w:val="FontStyle24"/>
          <w:rFonts w:eastAsiaTheme="majorEastAsia"/>
          <w:i/>
          <w:iCs/>
        </w:rPr>
        <w:t>) la motonave denominada “Pez Volador”, con matrícula CP5-2545-B de la Capitanía del Puerto de Cartagena</w:t>
      </w:r>
      <w:r w:rsidR="63748C56" w:rsidRPr="43420347">
        <w:rPr>
          <w:rStyle w:val="FontStyle24"/>
          <w:rFonts w:eastAsiaTheme="majorEastAsia"/>
          <w:i/>
          <w:iCs/>
        </w:rPr>
        <w:t xml:space="preserve">; la cuota parte de MARTHA ISABEL GENEY CORREA en las sociedades MAQUIPORT LTDA. Y PANIC LTDA., que corresponde </w:t>
      </w:r>
      <w:r w:rsidR="1B60900A" w:rsidRPr="43420347">
        <w:rPr>
          <w:rStyle w:val="FontStyle24"/>
          <w:rFonts w:eastAsiaTheme="majorEastAsia"/>
          <w:i/>
          <w:iCs/>
        </w:rPr>
        <w:t>al 90% y 50%, respectivamente; la cuota parte de JULIO CÉSAR BECHARA MÁRQUEZ en la firma RECIMETALES LTDA., equivalentes al 50%; el inmueble distinguido con matr</w:t>
      </w:r>
      <w:r w:rsidR="0282B61D" w:rsidRPr="43420347">
        <w:rPr>
          <w:rStyle w:val="FontStyle24"/>
          <w:rFonts w:eastAsiaTheme="majorEastAsia"/>
          <w:i/>
          <w:iCs/>
        </w:rPr>
        <w:t xml:space="preserve">ícula inmobiliaria 060-106525 de la Oficina de Registro de Instrumentos </w:t>
      </w:r>
      <w:r w:rsidR="52D994CC" w:rsidRPr="43420347">
        <w:rPr>
          <w:rStyle w:val="FontStyle24"/>
          <w:rFonts w:eastAsiaTheme="majorEastAsia"/>
          <w:i/>
          <w:iCs/>
        </w:rPr>
        <w:t xml:space="preserve">Públicos de Cartagena, cuya titularidad ostentan LUCY DE LA MERCEDES MENDOZA BARCENAS, LUCY ANDREA CRUZ MENDOZA y SENEN ORLANDO CRUZ MEDINA. </w:t>
      </w:r>
    </w:p>
    <w:p w14:paraId="522D70A6" w14:textId="51B2C7DF" w:rsidR="43420347" w:rsidRDefault="43420347" w:rsidP="006C32A9">
      <w:pPr>
        <w:pStyle w:val="Style9"/>
        <w:widowControl/>
        <w:tabs>
          <w:tab w:val="left" w:pos="1109"/>
        </w:tabs>
        <w:spacing w:line="360" w:lineRule="auto"/>
        <w:ind w:right="82"/>
        <w:contextualSpacing/>
        <w:rPr>
          <w:rStyle w:val="FontStyle24"/>
          <w:rFonts w:eastAsiaTheme="majorEastAsia"/>
        </w:rPr>
      </w:pPr>
    </w:p>
    <w:p w14:paraId="723DD38B" w14:textId="231EDB20" w:rsidR="52D994CC" w:rsidRDefault="52D994CC" w:rsidP="006C32A9">
      <w:pPr>
        <w:pStyle w:val="Style9"/>
        <w:widowControl/>
        <w:tabs>
          <w:tab w:val="left" w:pos="1109"/>
        </w:tabs>
        <w:spacing w:line="360" w:lineRule="auto"/>
        <w:ind w:left="708" w:right="82" w:firstLine="0"/>
        <w:contextualSpacing/>
        <w:rPr>
          <w:rStyle w:val="FontStyle24"/>
          <w:rFonts w:eastAsiaTheme="majorEastAsia"/>
          <w:i/>
          <w:iCs/>
        </w:rPr>
      </w:pPr>
      <w:r w:rsidRPr="43420347">
        <w:rPr>
          <w:rStyle w:val="FontStyle24"/>
          <w:rFonts w:eastAsiaTheme="majorEastAsia"/>
          <w:i/>
          <w:iCs/>
        </w:rPr>
        <w:t>SEGUNDO.</w:t>
      </w:r>
      <w:r w:rsidR="0EC8C46D" w:rsidRPr="43420347">
        <w:rPr>
          <w:rStyle w:val="FontStyle24"/>
          <w:rFonts w:eastAsiaTheme="majorEastAsia"/>
          <w:i/>
          <w:iCs/>
        </w:rPr>
        <w:t xml:space="preserve"> </w:t>
      </w:r>
      <w:r w:rsidRPr="43420347">
        <w:rPr>
          <w:rStyle w:val="FontStyle24"/>
          <w:rFonts w:eastAsiaTheme="majorEastAsia"/>
          <w:i/>
          <w:iCs/>
        </w:rPr>
        <w:t>-</w:t>
      </w:r>
      <w:r w:rsidR="090D267F" w:rsidRPr="43420347">
        <w:rPr>
          <w:rStyle w:val="FontStyle24"/>
          <w:rFonts w:eastAsiaTheme="majorEastAsia"/>
          <w:i/>
          <w:iCs/>
        </w:rPr>
        <w:t xml:space="preserve"> CONFIRMAR PARCIALMENTE el numeral primero de la parte resolutiva de la sentencia proferida el 30 de enero de 2012 por el Juzgado Tercer</w:t>
      </w:r>
      <w:r w:rsidR="006517BE">
        <w:rPr>
          <w:rStyle w:val="FontStyle24"/>
          <w:rFonts w:eastAsiaTheme="majorEastAsia"/>
          <w:i/>
          <w:iCs/>
        </w:rPr>
        <w:t>o</w:t>
      </w:r>
      <w:r w:rsidR="090D267F" w:rsidRPr="43420347">
        <w:rPr>
          <w:rStyle w:val="FontStyle24"/>
          <w:rFonts w:eastAsiaTheme="majorEastAsia"/>
          <w:i/>
          <w:iCs/>
        </w:rPr>
        <w:t xml:space="preserve"> Penal del Circuito Especializado de </w:t>
      </w:r>
      <w:r w:rsidR="6240346F" w:rsidRPr="43420347">
        <w:rPr>
          <w:rStyle w:val="FontStyle24"/>
          <w:rFonts w:eastAsiaTheme="majorEastAsia"/>
          <w:i/>
          <w:iCs/>
        </w:rPr>
        <w:t>Bogotá</w:t>
      </w:r>
      <w:r w:rsidR="090D267F" w:rsidRPr="43420347">
        <w:rPr>
          <w:rStyle w:val="FontStyle24"/>
          <w:rFonts w:eastAsiaTheme="majorEastAsia"/>
          <w:i/>
          <w:iCs/>
        </w:rPr>
        <w:t>, en el sentido de NO DECRETAR LA EXTINCI</w:t>
      </w:r>
      <w:r w:rsidR="50EFBB93" w:rsidRPr="43420347">
        <w:rPr>
          <w:rStyle w:val="FontStyle24"/>
          <w:rFonts w:eastAsiaTheme="majorEastAsia"/>
          <w:i/>
          <w:iCs/>
        </w:rPr>
        <w:t xml:space="preserve">ÓN DE DOMINIO respecto del inmueble distinguido con la matrícula inmobiliaria 060-98089 de la Oficina de Registro de Instrumentos Públicos de Cartagena. </w:t>
      </w:r>
      <w:r w:rsidRPr="43420347">
        <w:rPr>
          <w:rStyle w:val="FontStyle24"/>
          <w:rFonts w:eastAsiaTheme="majorEastAsia"/>
          <w:i/>
          <w:iCs/>
        </w:rPr>
        <w:t xml:space="preserve"> </w:t>
      </w:r>
    </w:p>
    <w:p w14:paraId="1086A0E9" w14:textId="77777777" w:rsidR="000226B8" w:rsidRPr="001E0045" w:rsidRDefault="000226B8" w:rsidP="006C32A9">
      <w:pPr>
        <w:spacing w:line="360" w:lineRule="auto"/>
        <w:rPr>
          <w:rFonts w:ascii="Bookman Old Style" w:hAnsi="Bookman Old Style"/>
          <w:bCs/>
          <w:spacing w:val="6"/>
          <w:sz w:val="28"/>
          <w:szCs w:val="28"/>
        </w:rPr>
      </w:pPr>
    </w:p>
    <w:p w14:paraId="410AA4B6" w14:textId="1626F866" w:rsidR="2B3394D8" w:rsidRDefault="2B3394D8" w:rsidP="006C32A9">
      <w:pPr>
        <w:pStyle w:val="Style1"/>
        <w:widowControl/>
        <w:numPr>
          <w:ilvl w:val="1"/>
          <w:numId w:val="26"/>
        </w:numPr>
        <w:spacing w:line="360" w:lineRule="auto"/>
        <w:ind w:left="0" w:firstLine="720"/>
        <w:contextualSpacing/>
        <w:jc w:val="both"/>
        <w:rPr>
          <w:rFonts w:cs="Arial"/>
          <w:sz w:val="28"/>
          <w:szCs w:val="28"/>
        </w:rPr>
      </w:pPr>
      <w:r w:rsidRPr="43420347">
        <w:rPr>
          <w:rFonts w:cs="Arial"/>
          <w:sz w:val="28"/>
          <w:szCs w:val="28"/>
        </w:rPr>
        <w:t>Luego, mediante</w:t>
      </w:r>
      <w:r w:rsidR="4484A6CF" w:rsidRPr="43420347">
        <w:rPr>
          <w:rFonts w:cs="Arial"/>
          <w:sz w:val="28"/>
          <w:szCs w:val="28"/>
        </w:rPr>
        <w:t xml:space="preserve"> providencia de 16 de febrero de 2016, la Sala de Decisión Especializada corrigió el numeral primero de la sentencia de segundo grado y dispuso: </w:t>
      </w:r>
    </w:p>
    <w:p w14:paraId="7A446200" w14:textId="191DDCD5" w:rsidR="43420347" w:rsidRDefault="43420347" w:rsidP="006C32A9">
      <w:pPr>
        <w:pStyle w:val="Style1"/>
        <w:widowControl/>
        <w:spacing w:line="360" w:lineRule="auto"/>
        <w:ind w:firstLine="720"/>
        <w:contextualSpacing/>
        <w:jc w:val="both"/>
        <w:rPr>
          <w:rFonts w:cs="Arial"/>
          <w:sz w:val="28"/>
          <w:szCs w:val="28"/>
        </w:rPr>
      </w:pPr>
    </w:p>
    <w:p w14:paraId="48B36579" w14:textId="2FA52612" w:rsidR="4484A6CF" w:rsidRDefault="4484A6CF" w:rsidP="006C32A9">
      <w:pPr>
        <w:pStyle w:val="Style1"/>
        <w:widowControl/>
        <w:spacing w:line="360" w:lineRule="auto"/>
        <w:ind w:left="708"/>
        <w:contextualSpacing/>
        <w:jc w:val="both"/>
        <w:rPr>
          <w:rFonts w:cs="Arial"/>
          <w:i/>
          <w:iCs/>
          <w:sz w:val="26"/>
          <w:szCs w:val="26"/>
        </w:rPr>
      </w:pPr>
      <w:r w:rsidRPr="43420347">
        <w:rPr>
          <w:rFonts w:cs="Arial"/>
          <w:i/>
          <w:iCs/>
          <w:sz w:val="26"/>
          <w:szCs w:val="26"/>
        </w:rPr>
        <w:t>“DECRETAR LA EXTINCIÓN DE DOMINIO respecto de los siguientes bienes: i) los inmuebles identificados con las matrículas inmobiliarias números 060-152339, 060-152340, 060-1</w:t>
      </w:r>
      <w:r w:rsidR="37526F68" w:rsidRPr="43420347">
        <w:rPr>
          <w:rFonts w:cs="Arial"/>
          <w:i/>
          <w:iCs/>
          <w:sz w:val="26"/>
          <w:szCs w:val="26"/>
        </w:rPr>
        <w:t>52341, 060-152342, 060-152343, 060-152348 y 060-152349 de la Oficina de Registro de Instrumentos Públicos de Cartagena, localizado</w:t>
      </w:r>
      <w:r w:rsidR="3541E627" w:rsidRPr="43420347">
        <w:rPr>
          <w:rFonts w:cs="Arial"/>
          <w:i/>
          <w:iCs/>
          <w:sz w:val="26"/>
          <w:szCs w:val="26"/>
        </w:rPr>
        <w:t xml:space="preserve">s en la Finca </w:t>
      </w:r>
      <w:proofErr w:type="spellStart"/>
      <w:r w:rsidR="3541E627" w:rsidRPr="43420347">
        <w:rPr>
          <w:rFonts w:cs="Arial"/>
          <w:i/>
          <w:iCs/>
          <w:sz w:val="26"/>
          <w:szCs w:val="26"/>
        </w:rPr>
        <w:t>Costalinda</w:t>
      </w:r>
      <w:proofErr w:type="spellEnd"/>
      <w:r w:rsidR="3541E627" w:rsidRPr="43420347">
        <w:rPr>
          <w:rFonts w:cs="Arial"/>
          <w:i/>
          <w:iCs/>
          <w:sz w:val="26"/>
          <w:szCs w:val="26"/>
        </w:rPr>
        <w:t>, Manzanillo del Mar, la Boquilla, propiedad de JULIO CÉSAR BECHARA</w:t>
      </w:r>
      <w:r w:rsidRPr="43420347">
        <w:rPr>
          <w:rFonts w:cs="Arial"/>
          <w:i/>
          <w:iCs/>
          <w:sz w:val="26"/>
          <w:szCs w:val="26"/>
        </w:rPr>
        <w:t>”</w:t>
      </w:r>
      <w:r w:rsidR="110A63D9" w:rsidRPr="43420347">
        <w:rPr>
          <w:rFonts w:cs="Arial"/>
          <w:i/>
          <w:iCs/>
          <w:sz w:val="26"/>
          <w:szCs w:val="26"/>
        </w:rPr>
        <w:t xml:space="preserve">; </w:t>
      </w:r>
      <w:proofErr w:type="spellStart"/>
      <w:r w:rsidR="110A63D9" w:rsidRPr="43420347">
        <w:rPr>
          <w:rFonts w:cs="Arial"/>
          <w:i/>
          <w:iCs/>
          <w:sz w:val="26"/>
          <w:szCs w:val="26"/>
        </w:rPr>
        <w:t>ii</w:t>
      </w:r>
      <w:proofErr w:type="spellEnd"/>
      <w:r w:rsidR="110A63D9" w:rsidRPr="43420347">
        <w:rPr>
          <w:rFonts w:cs="Arial"/>
          <w:i/>
          <w:iCs/>
          <w:sz w:val="26"/>
          <w:szCs w:val="26"/>
        </w:rPr>
        <w:t xml:space="preserve">) la motonave </w:t>
      </w:r>
      <w:r w:rsidR="3985C005" w:rsidRPr="43420347">
        <w:rPr>
          <w:rFonts w:cs="Arial"/>
          <w:i/>
          <w:iCs/>
          <w:sz w:val="26"/>
          <w:szCs w:val="26"/>
        </w:rPr>
        <w:lastRenderedPageBreak/>
        <w:t xml:space="preserve">denominada “Pez Volador”, con matrícula </w:t>
      </w:r>
      <w:r w:rsidR="68F67821" w:rsidRPr="43420347">
        <w:rPr>
          <w:rFonts w:cs="Arial"/>
          <w:i/>
          <w:iCs/>
          <w:sz w:val="26"/>
          <w:szCs w:val="26"/>
        </w:rPr>
        <w:t>CP5-2545-B de la Capitanía del Puerto de Cartagena; la cuota parte de MARTHA ISABEL GENEY CORREA en las sociedades MAQUIPORT LTDA. Y PANIC LTDA</w:t>
      </w:r>
      <w:r w:rsidR="73EB9CFB" w:rsidRPr="43420347">
        <w:rPr>
          <w:rFonts w:cs="Arial"/>
          <w:i/>
          <w:iCs/>
          <w:sz w:val="26"/>
          <w:szCs w:val="26"/>
        </w:rPr>
        <w:t>., que corresponden al 90% y 50%, respectivamente; la cuota parte de JULIO CÉSAR BECHARA MÁRQUEZ en la firma RECIMETALES LTDA., equivalente al 50%; y el inmueble distinguido con matrícul</w:t>
      </w:r>
      <w:r w:rsidR="20A8FC51" w:rsidRPr="43420347">
        <w:rPr>
          <w:rFonts w:cs="Arial"/>
          <w:i/>
          <w:iCs/>
          <w:sz w:val="26"/>
          <w:szCs w:val="26"/>
        </w:rPr>
        <w:t>a 060-106525 de la Oficina de Registros Públicos de Cartagena, cuya titularidad ostentan LUCY DE LAS MERCEDES MENDOZA BARCENAS, LUCY ANDREA CRUZ MENDOZA y SENEN ORLANDO CRUZ MEDINA”.</w:t>
      </w:r>
    </w:p>
    <w:p w14:paraId="2FE08C7C" w14:textId="0BD0CA69" w:rsidR="43420347" w:rsidRDefault="43420347" w:rsidP="006C32A9">
      <w:pPr>
        <w:pStyle w:val="Style1"/>
        <w:widowControl/>
        <w:spacing w:line="360" w:lineRule="auto"/>
        <w:ind w:left="708"/>
        <w:contextualSpacing/>
        <w:jc w:val="both"/>
        <w:rPr>
          <w:rFonts w:cs="Arial"/>
          <w:sz w:val="28"/>
          <w:szCs w:val="28"/>
        </w:rPr>
      </w:pPr>
    </w:p>
    <w:p w14:paraId="41432413" w14:textId="4569F15A" w:rsidR="00C20238" w:rsidRDefault="006517BE" w:rsidP="006C32A9">
      <w:pPr>
        <w:pStyle w:val="Style1"/>
        <w:numPr>
          <w:ilvl w:val="1"/>
          <w:numId w:val="26"/>
        </w:numPr>
        <w:spacing w:line="360" w:lineRule="auto"/>
        <w:ind w:left="0" w:firstLine="720"/>
        <w:contextualSpacing/>
        <w:jc w:val="both"/>
        <w:rPr>
          <w:rFonts w:cs="Arial"/>
          <w:sz w:val="28"/>
          <w:szCs w:val="28"/>
          <w:lang w:val="es-CO"/>
        </w:rPr>
      </w:pPr>
      <w:r>
        <w:rPr>
          <w:rFonts w:cs="Arial"/>
          <w:sz w:val="28"/>
          <w:szCs w:val="28"/>
          <w:lang w:val="es-CO"/>
        </w:rPr>
        <w:t xml:space="preserve">EDMON JOSÉ </w:t>
      </w:r>
      <w:r w:rsidR="00316CD1" w:rsidRPr="00316CD1">
        <w:rPr>
          <w:rFonts w:cs="Arial"/>
          <w:sz w:val="28"/>
          <w:szCs w:val="28"/>
          <w:lang w:val="es-CO"/>
        </w:rPr>
        <w:t xml:space="preserve">BECHARA DONADO promovió acción de tutela contra el Juzgado Tercero Penal del Circuito Especializado de Extinción de Dominio de Bogotá y la Sala de Extinción de Dominio del Tribunal Superior de esa ciudad, con ocasión de las sentencias previamente referenciadas. La solicitud de amparo fue negada el 27 de septiembre de 2022, mediante proveído STP14200-2022, rad. 126223, proferido por la Sala de Decisión de Tutelas </w:t>
      </w:r>
      <w:proofErr w:type="spellStart"/>
      <w:r w:rsidR="00316CD1" w:rsidRPr="00316CD1">
        <w:rPr>
          <w:rFonts w:cs="Arial"/>
          <w:sz w:val="28"/>
          <w:szCs w:val="28"/>
          <w:lang w:val="es-CO"/>
        </w:rPr>
        <w:t>n.°</w:t>
      </w:r>
      <w:proofErr w:type="spellEnd"/>
      <w:r w:rsidR="00316CD1" w:rsidRPr="00316CD1">
        <w:rPr>
          <w:rFonts w:cs="Arial"/>
          <w:sz w:val="28"/>
          <w:szCs w:val="28"/>
          <w:lang w:val="es-CO"/>
        </w:rPr>
        <w:t xml:space="preserve"> 2 de la Sala de Casación Penal</w:t>
      </w:r>
      <w:r w:rsidR="00C20238">
        <w:rPr>
          <w:rStyle w:val="Refdenotaalpie"/>
          <w:rFonts w:cs="Arial"/>
          <w:sz w:val="28"/>
          <w:szCs w:val="28"/>
          <w:lang w:val="es-CO"/>
        </w:rPr>
        <w:footnoteReference w:id="4"/>
      </w:r>
      <w:r w:rsidR="00316CD1" w:rsidRPr="00316CD1">
        <w:rPr>
          <w:rFonts w:cs="Arial"/>
          <w:sz w:val="28"/>
          <w:szCs w:val="28"/>
          <w:lang w:val="es-CO"/>
        </w:rPr>
        <w:t>.</w:t>
      </w:r>
    </w:p>
    <w:p w14:paraId="7199A16A" w14:textId="77777777" w:rsidR="00C20238" w:rsidRDefault="00C20238" w:rsidP="006C32A9">
      <w:pPr>
        <w:pStyle w:val="Style1"/>
        <w:spacing w:line="360" w:lineRule="auto"/>
        <w:ind w:firstLine="720"/>
        <w:contextualSpacing/>
        <w:jc w:val="both"/>
        <w:rPr>
          <w:rFonts w:cs="Arial"/>
          <w:sz w:val="28"/>
          <w:szCs w:val="28"/>
          <w:lang w:val="es-CO"/>
        </w:rPr>
      </w:pPr>
    </w:p>
    <w:p w14:paraId="3474D7C0" w14:textId="554393D6" w:rsidR="00C20238" w:rsidRDefault="00316CD1" w:rsidP="006C32A9">
      <w:pPr>
        <w:pStyle w:val="Style1"/>
        <w:numPr>
          <w:ilvl w:val="1"/>
          <w:numId w:val="26"/>
        </w:numPr>
        <w:spacing w:line="360" w:lineRule="auto"/>
        <w:ind w:left="0" w:firstLine="720"/>
        <w:contextualSpacing/>
        <w:jc w:val="both"/>
        <w:rPr>
          <w:rFonts w:cs="Arial"/>
          <w:sz w:val="28"/>
          <w:szCs w:val="28"/>
          <w:lang w:val="es-CO"/>
        </w:rPr>
      </w:pPr>
      <w:r w:rsidRPr="00C20238">
        <w:rPr>
          <w:rFonts w:cs="Arial"/>
          <w:sz w:val="28"/>
          <w:szCs w:val="28"/>
          <w:lang w:val="es-CO"/>
        </w:rPr>
        <w:t xml:space="preserve">Posteriormente, el accionante presentó una nueva acción de tutela contra la Sala de Extinción de Dominio del Tribunal Superior del Distrito Judicial de Bogotá y la Sociedad de Activos Especiales S. A. S., con </w:t>
      </w:r>
      <w:r w:rsidR="003D5077">
        <w:rPr>
          <w:rFonts w:cs="Arial"/>
          <w:sz w:val="28"/>
          <w:szCs w:val="28"/>
          <w:lang w:val="es-CO"/>
        </w:rPr>
        <w:t>apoyo</w:t>
      </w:r>
      <w:r w:rsidRPr="00C20238">
        <w:rPr>
          <w:rFonts w:cs="Arial"/>
          <w:sz w:val="28"/>
          <w:szCs w:val="28"/>
          <w:lang w:val="es-CO"/>
        </w:rPr>
        <w:t xml:space="preserve"> en la misma situación fáctica. Esta fue declarada improcedente el 26 de septiembre de 2024 por la Sala de Decisión de Tutelas </w:t>
      </w:r>
      <w:proofErr w:type="spellStart"/>
      <w:r w:rsidRPr="00C20238">
        <w:rPr>
          <w:rFonts w:cs="Arial"/>
          <w:sz w:val="28"/>
          <w:szCs w:val="28"/>
          <w:lang w:val="es-CO"/>
        </w:rPr>
        <w:t>n.°</w:t>
      </w:r>
      <w:proofErr w:type="spellEnd"/>
      <w:r w:rsidRPr="00C20238">
        <w:rPr>
          <w:rFonts w:cs="Arial"/>
          <w:sz w:val="28"/>
          <w:szCs w:val="28"/>
          <w:lang w:val="es-CO"/>
        </w:rPr>
        <w:t xml:space="preserve"> 3 de la Sala de Casación Penal, mediante decisión STP13019-2024, rad. 140195</w:t>
      </w:r>
      <w:r w:rsidR="00AD21C2">
        <w:rPr>
          <w:rStyle w:val="Refdenotaalpie"/>
          <w:rFonts w:cs="Arial"/>
          <w:sz w:val="28"/>
          <w:szCs w:val="28"/>
          <w:lang w:val="es-CO"/>
        </w:rPr>
        <w:footnoteReference w:id="5"/>
      </w:r>
      <w:r w:rsidRPr="00C20238">
        <w:rPr>
          <w:rFonts w:cs="Arial"/>
          <w:sz w:val="28"/>
          <w:szCs w:val="28"/>
          <w:lang w:val="es-CO"/>
        </w:rPr>
        <w:t xml:space="preserve">. Impugnada la decisión, la Sala de Casación Civil, </w:t>
      </w:r>
      <w:r w:rsidRPr="00C20238">
        <w:rPr>
          <w:rFonts w:cs="Arial"/>
          <w:sz w:val="28"/>
          <w:szCs w:val="28"/>
          <w:lang w:val="es-CO"/>
        </w:rPr>
        <w:lastRenderedPageBreak/>
        <w:t>Agraria y Rural la confirmó mediante STC15502-2024.</w:t>
      </w:r>
    </w:p>
    <w:p w14:paraId="0185A71D" w14:textId="77777777" w:rsidR="00C20238" w:rsidRDefault="00C20238" w:rsidP="006C32A9">
      <w:pPr>
        <w:pStyle w:val="Prrafodelista"/>
        <w:spacing w:line="360" w:lineRule="auto"/>
        <w:ind w:left="0" w:firstLine="720"/>
        <w:rPr>
          <w:rFonts w:cs="Arial"/>
          <w:sz w:val="28"/>
          <w:szCs w:val="28"/>
        </w:rPr>
      </w:pPr>
    </w:p>
    <w:p w14:paraId="0B0EBC6D" w14:textId="12B671EF" w:rsidR="003D30EC" w:rsidRPr="003D30EC" w:rsidRDefault="00FC1B6F" w:rsidP="003D30EC">
      <w:pPr>
        <w:pStyle w:val="Style1"/>
        <w:numPr>
          <w:ilvl w:val="1"/>
          <w:numId w:val="26"/>
        </w:numPr>
        <w:spacing w:line="360" w:lineRule="auto"/>
        <w:ind w:left="0" w:firstLine="720"/>
        <w:contextualSpacing/>
        <w:jc w:val="both"/>
        <w:rPr>
          <w:rFonts w:cs="Arial"/>
          <w:sz w:val="28"/>
          <w:szCs w:val="28"/>
          <w:lang w:val="es-CO"/>
        </w:rPr>
      </w:pPr>
      <w:r w:rsidRPr="00C20238">
        <w:rPr>
          <w:rFonts w:cs="Arial"/>
          <w:sz w:val="28"/>
          <w:szCs w:val="28"/>
        </w:rPr>
        <w:t xml:space="preserve">Con fundamento en la causal contemplada en </w:t>
      </w:r>
      <w:r w:rsidR="17A56B63" w:rsidRPr="00C20238">
        <w:rPr>
          <w:rFonts w:cs="Arial"/>
          <w:sz w:val="28"/>
          <w:szCs w:val="28"/>
        </w:rPr>
        <w:t>el</w:t>
      </w:r>
      <w:r w:rsidRPr="00C20238">
        <w:rPr>
          <w:rFonts w:cs="Arial"/>
          <w:sz w:val="28"/>
          <w:szCs w:val="28"/>
        </w:rPr>
        <w:t xml:space="preserve"> numeral 1 del artículo 73 del Código de Extinción de Dominio – Ley 1708 de 2014,</w:t>
      </w:r>
      <w:r w:rsidRPr="00C20238">
        <w:rPr>
          <w:rStyle w:val="FontStyle24"/>
          <w:rFonts w:eastAsiaTheme="majorEastAsia"/>
          <w:sz w:val="28"/>
          <w:szCs w:val="28"/>
        </w:rPr>
        <w:t xml:space="preserve"> </w:t>
      </w:r>
      <w:r w:rsidR="3AD5DCB0" w:rsidRPr="00C20238">
        <w:rPr>
          <w:rStyle w:val="FontStyle24"/>
          <w:rFonts w:eastAsiaTheme="majorEastAsia"/>
          <w:sz w:val="28"/>
          <w:szCs w:val="28"/>
        </w:rPr>
        <w:t>EDMON JOSÉ BECHARA DONADO</w:t>
      </w:r>
      <w:r w:rsidRPr="00C20238">
        <w:rPr>
          <w:rStyle w:val="FontStyle24"/>
          <w:rFonts w:eastAsiaTheme="majorEastAsia"/>
          <w:sz w:val="28"/>
          <w:szCs w:val="28"/>
        </w:rPr>
        <w:t xml:space="preserve"> </w:t>
      </w:r>
      <w:r w:rsidRPr="00C20238">
        <w:rPr>
          <w:rFonts w:cs="Arial"/>
          <w:sz w:val="28"/>
          <w:szCs w:val="28"/>
        </w:rPr>
        <w:t xml:space="preserve">promovió acción de revisión contra la sentencia </w:t>
      </w:r>
      <w:r w:rsidR="0D2A4CFA" w:rsidRPr="00C20238">
        <w:rPr>
          <w:rFonts w:cs="Arial"/>
          <w:sz w:val="28"/>
          <w:szCs w:val="28"/>
        </w:rPr>
        <w:t>referida. La demanda</w:t>
      </w:r>
      <w:r w:rsidRPr="00C20238">
        <w:rPr>
          <w:rFonts w:cs="Arial"/>
          <w:sz w:val="28"/>
          <w:szCs w:val="28"/>
        </w:rPr>
        <w:t xml:space="preserve"> fue </w:t>
      </w:r>
      <w:r w:rsidR="27D8E479" w:rsidRPr="00C20238">
        <w:rPr>
          <w:rFonts w:cs="Arial"/>
          <w:sz w:val="28"/>
          <w:szCs w:val="28"/>
        </w:rPr>
        <w:t>declarada improcedente</w:t>
      </w:r>
      <w:r w:rsidRPr="00C20238">
        <w:rPr>
          <w:rFonts w:cs="Arial"/>
          <w:sz w:val="28"/>
          <w:szCs w:val="28"/>
        </w:rPr>
        <w:t xml:space="preserve"> el 13 de </w:t>
      </w:r>
      <w:r w:rsidR="171D92CB" w:rsidRPr="00C20238">
        <w:rPr>
          <w:rFonts w:cs="Arial"/>
          <w:sz w:val="28"/>
          <w:szCs w:val="28"/>
        </w:rPr>
        <w:t>noviembre de 2025</w:t>
      </w:r>
      <w:r w:rsidRPr="00C20238">
        <w:rPr>
          <w:rFonts w:cs="Arial"/>
          <w:sz w:val="28"/>
          <w:szCs w:val="28"/>
        </w:rPr>
        <w:t xml:space="preserve"> por la Sala de Extinción de Dominio del Tribunal Superior del Distrito Judicial de Bogotá.</w:t>
      </w:r>
    </w:p>
    <w:p w14:paraId="58D85F04" w14:textId="77777777" w:rsidR="00FC1B6F" w:rsidRPr="00DC4A45" w:rsidRDefault="00FC1B6F" w:rsidP="006C32A9">
      <w:pPr>
        <w:pStyle w:val="Style1"/>
        <w:widowControl/>
        <w:spacing w:line="360" w:lineRule="auto"/>
        <w:ind w:firstLine="720"/>
        <w:contextualSpacing/>
        <w:jc w:val="both"/>
        <w:rPr>
          <w:rFonts w:cs="Arial"/>
          <w:sz w:val="28"/>
          <w:szCs w:val="28"/>
        </w:rPr>
      </w:pPr>
    </w:p>
    <w:p w14:paraId="7FC1F22B" w14:textId="3D15E917" w:rsidR="00FC1B6F" w:rsidRPr="00DC4A45" w:rsidRDefault="00FC1B6F" w:rsidP="003D30EC">
      <w:pPr>
        <w:pStyle w:val="Style1"/>
        <w:widowControl/>
        <w:spacing w:line="360" w:lineRule="auto"/>
        <w:ind w:firstLine="360"/>
        <w:contextualSpacing/>
        <w:jc w:val="both"/>
        <w:rPr>
          <w:rStyle w:val="FontStyle24"/>
          <w:rFonts w:eastAsiaTheme="majorEastAsia"/>
          <w:spacing w:val="-10"/>
          <w:sz w:val="28"/>
          <w:szCs w:val="28"/>
        </w:rPr>
      </w:pPr>
      <w:r w:rsidRPr="43420347">
        <w:rPr>
          <w:rFonts w:cs="Arial"/>
          <w:sz w:val="28"/>
          <w:szCs w:val="28"/>
        </w:rPr>
        <w:t xml:space="preserve">Apelada </w:t>
      </w:r>
      <w:r w:rsidR="0E8537BE" w:rsidRPr="43420347">
        <w:rPr>
          <w:rFonts w:cs="Arial"/>
          <w:sz w:val="28"/>
          <w:szCs w:val="28"/>
        </w:rPr>
        <w:t xml:space="preserve">esa decisión, </w:t>
      </w:r>
      <w:r w:rsidRPr="43420347">
        <w:rPr>
          <w:rFonts w:cs="Arial"/>
          <w:sz w:val="28"/>
          <w:szCs w:val="28"/>
        </w:rPr>
        <w:t>la</w:t>
      </w:r>
      <w:r w:rsidR="1E8F6675" w:rsidRPr="43420347">
        <w:rPr>
          <w:rFonts w:cs="Arial"/>
          <w:sz w:val="28"/>
          <w:szCs w:val="28"/>
        </w:rPr>
        <w:t>s</w:t>
      </w:r>
      <w:r w:rsidRPr="43420347">
        <w:rPr>
          <w:rFonts w:cs="Arial"/>
          <w:sz w:val="28"/>
          <w:szCs w:val="28"/>
        </w:rPr>
        <w:t xml:space="preserve"> diligencias fueron remitidas a la Corte Suprema de Justicia.</w:t>
      </w:r>
    </w:p>
    <w:p w14:paraId="09ACB6CA" w14:textId="77777777" w:rsidR="00934051" w:rsidRDefault="00934051" w:rsidP="006C32A9">
      <w:pPr>
        <w:spacing w:line="360" w:lineRule="auto"/>
        <w:rPr>
          <w:rFonts w:ascii="Bookman Old Style" w:hAnsi="Bookman Old Style"/>
          <w:bCs/>
          <w:spacing w:val="6"/>
          <w:sz w:val="28"/>
          <w:szCs w:val="28"/>
          <w:lang w:val="es-CO"/>
        </w:rPr>
      </w:pPr>
    </w:p>
    <w:p w14:paraId="60954ACE" w14:textId="77777777" w:rsidR="00281F6A" w:rsidRPr="001E0045" w:rsidRDefault="00281F6A" w:rsidP="006C32A9">
      <w:pPr>
        <w:spacing w:line="360" w:lineRule="auto"/>
        <w:rPr>
          <w:rFonts w:ascii="Bookman Old Style" w:hAnsi="Bookman Old Style"/>
          <w:bCs/>
          <w:spacing w:val="6"/>
          <w:sz w:val="28"/>
          <w:szCs w:val="28"/>
          <w:lang w:val="es-CO"/>
        </w:rPr>
      </w:pPr>
    </w:p>
    <w:p w14:paraId="6482A009" w14:textId="50B5F9AE" w:rsidR="003D30EC" w:rsidRPr="003D30EC" w:rsidRDefault="00FC1B6F" w:rsidP="003D30EC">
      <w:pPr>
        <w:pStyle w:val="Prrafodelista"/>
        <w:keepNext/>
        <w:numPr>
          <w:ilvl w:val="0"/>
          <w:numId w:val="10"/>
        </w:numPr>
        <w:suppressAutoHyphens/>
        <w:overflowPunct/>
        <w:autoSpaceDE/>
        <w:autoSpaceDN/>
        <w:adjustRightInd/>
        <w:spacing w:line="360" w:lineRule="auto"/>
        <w:contextualSpacing w:val="0"/>
        <w:jc w:val="center"/>
        <w:textAlignment w:val="auto"/>
        <w:outlineLvl w:val="0"/>
        <w:rPr>
          <w:rFonts w:ascii="Bookman Old Style" w:hAnsi="Bookman Old Style"/>
          <w:b/>
          <w:spacing w:val="6"/>
          <w:sz w:val="28"/>
          <w:szCs w:val="28"/>
          <w:lang w:val="es-CO"/>
        </w:rPr>
      </w:pPr>
      <w:r w:rsidRPr="00FC1B6F">
        <w:rPr>
          <w:rFonts w:ascii="Bookman Old Style" w:hAnsi="Bookman Old Style"/>
          <w:b/>
          <w:spacing w:val="6"/>
          <w:sz w:val="28"/>
          <w:szCs w:val="28"/>
          <w:lang w:val="es-CO"/>
        </w:rPr>
        <w:t>EL AUTO APELADO</w:t>
      </w:r>
    </w:p>
    <w:p w14:paraId="4032C615" w14:textId="77777777" w:rsidR="003D30EC" w:rsidRPr="000F7B29" w:rsidRDefault="003D30EC" w:rsidP="006C32A9">
      <w:pPr>
        <w:spacing w:line="360" w:lineRule="auto"/>
        <w:rPr>
          <w:rFonts w:ascii="Bookman Old Style" w:hAnsi="Bookman Old Style"/>
          <w:spacing w:val="6"/>
          <w:sz w:val="28"/>
          <w:szCs w:val="28"/>
          <w:lang w:val="es-CO"/>
        </w:rPr>
      </w:pPr>
    </w:p>
    <w:p w14:paraId="79301923" w14:textId="76E5E5AC" w:rsidR="00CF03E0" w:rsidRPr="003D30EC" w:rsidRDefault="006639B1" w:rsidP="003D30EC">
      <w:pPr>
        <w:pStyle w:val="Prrafodelista"/>
        <w:numPr>
          <w:ilvl w:val="1"/>
          <w:numId w:val="28"/>
        </w:numPr>
        <w:spacing w:line="360" w:lineRule="auto"/>
        <w:ind w:left="0" w:firstLine="720"/>
        <w:jc w:val="both"/>
        <w:rPr>
          <w:rFonts w:ascii="Bookman Old Style" w:eastAsiaTheme="majorEastAsia" w:hAnsi="Bookman Old Style" w:cs="Bookman Old Style"/>
          <w:spacing w:val="0"/>
          <w:sz w:val="28"/>
          <w:szCs w:val="28"/>
          <w:lang w:val="es-ES"/>
        </w:rPr>
      </w:pPr>
      <w:r w:rsidRPr="003D30EC">
        <w:rPr>
          <w:rFonts w:ascii="Bookman Old Style" w:eastAsiaTheme="majorEastAsia" w:hAnsi="Bookman Old Style" w:cs="Bookman Old Style"/>
          <w:spacing w:val="0"/>
          <w:sz w:val="28"/>
          <w:szCs w:val="28"/>
          <w:lang w:val="es-ES"/>
        </w:rPr>
        <w:t>El Tribunal declaró improcedente la acción de revisión, por cuanto consideró</w:t>
      </w:r>
      <w:r w:rsidR="006517BE" w:rsidRPr="003D30EC">
        <w:rPr>
          <w:rFonts w:ascii="Bookman Old Style" w:eastAsiaTheme="majorEastAsia" w:hAnsi="Bookman Old Style" w:cs="Bookman Old Style"/>
          <w:spacing w:val="0"/>
          <w:sz w:val="28"/>
          <w:szCs w:val="28"/>
          <w:lang w:val="es-ES"/>
        </w:rPr>
        <w:t xml:space="preserve">: </w:t>
      </w:r>
      <w:r w:rsidRPr="003D30EC">
        <w:rPr>
          <w:rFonts w:ascii="Bookman Old Style" w:eastAsiaTheme="majorEastAsia" w:hAnsi="Bookman Old Style" w:cs="Bookman Old Style"/>
          <w:i/>
          <w:iCs/>
          <w:spacing w:val="0"/>
          <w:sz w:val="28"/>
          <w:szCs w:val="28"/>
          <w:lang w:val="es-ES"/>
        </w:rPr>
        <w:t>(i)</w:t>
      </w:r>
      <w:r w:rsidRPr="003D30EC">
        <w:rPr>
          <w:rFonts w:ascii="Bookman Old Style" w:eastAsiaTheme="majorEastAsia" w:hAnsi="Bookman Old Style" w:cs="Bookman Old Style"/>
          <w:spacing w:val="0"/>
          <w:sz w:val="28"/>
          <w:szCs w:val="28"/>
          <w:lang w:val="es-ES"/>
        </w:rPr>
        <w:t xml:space="preserve"> el trámite extintivo se adelantó bajo los parámetros de la Ley 793 de 2002, normativa con fundamento en la cual se profirió la resolución de inicio del 23 de noviembre de 2004; </w:t>
      </w:r>
      <w:r w:rsidRPr="003D30EC">
        <w:rPr>
          <w:rFonts w:ascii="Bookman Old Style" w:eastAsiaTheme="majorEastAsia" w:hAnsi="Bookman Old Style" w:cs="Bookman Old Style"/>
          <w:i/>
          <w:iCs/>
          <w:spacing w:val="0"/>
          <w:sz w:val="28"/>
          <w:szCs w:val="28"/>
          <w:lang w:val="es-ES"/>
        </w:rPr>
        <w:t>(</w:t>
      </w:r>
      <w:proofErr w:type="spellStart"/>
      <w:r w:rsidRPr="003D30EC">
        <w:rPr>
          <w:rFonts w:ascii="Bookman Old Style" w:eastAsiaTheme="majorEastAsia" w:hAnsi="Bookman Old Style" w:cs="Bookman Old Style"/>
          <w:i/>
          <w:iCs/>
          <w:spacing w:val="0"/>
          <w:sz w:val="28"/>
          <w:szCs w:val="28"/>
          <w:lang w:val="es-ES"/>
        </w:rPr>
        <w:t>ii</w:t>
      </w:r>
      <w:proofErr w:type="spellEnd"/>
      <w:r w:rsidRPr="003D30EC">
        <w:rPr>
          <w:rFonts w:ascii="Bookman Old Style" w:eastAsiaTheme="majorEastAsia" w:hAnsi="Bookman Old Style" w:cs="Bookman Old Style"/>
          <w:i/>
          <w:iCs/>
          <w:spacing w:val="0"/>
          <w:sz w:val="28"/>
          <w:szCs w:val="28"/>
          <w:lang w:val="es-ES"/>
        </w:rPr>
        <w:t>)</w:t>
      </w:r>
      <w:r w:rsidRPr="003D30EC">
        <w:rPr>
          <w:rFonts w:ascii="Bookman Old Style" w:eastAsiaTheme="majorEastAsia" w:hAnsi="Bookman Old Style" w:cs="Bookman Old Style"/>
          <w:spacing w:val="0"/>
          <w:sz w:val="28"/>
          <w:szCs w:val="28"/>
          <w:lang w:val="es-ES"/>
        </w:rPr>
        <w:t xml:space="preserve"> dicho régimen no contemplaba la acción de revisión contra las sentencias ejecutoriadas en materia de extinción de dominio, ni permitía aplicar analógicamente ese mecanismo desde </w:t>
      </w:r>
      <w:r w:rsidR="00E43EAE" w:rsidRPr="003D30EC">
        <w:rPr>
          <w:rFonts w:ascii="Bookman Old Style" w:eastAsiaTheme="majorEastAsia" w:hAnsi="Bookman Old Style" w:cs="Bookman Old Style"/>
          <w:spacing w:val="0"/>
          <w:sz w:val="28"/>
          <w:szCs w:val="28"/>
          <w:lang w:val="es-ES"/>
        </w:rPr>
        <w:t>los</w:t>
      </w:r>
      <w:r w:rsidRPr="003D30EC">
        <w:rPr>
          <w:rFonts w:ascii="Bookman Old Style" w:eastAsiaTheme="majorEastAsia" w:hAnsi="Bookman Old Style" w:cs="Bookman Old Style"/>
          <w:spacing w:val="0"/>
          <w:sz w:val="28"/>
          <w:szCs w:val="28"/>
          <w:lang w:val="es-ES"/>
        </w:rPr>
        <w:t xml:space="preserve"> códigos de procedimiento penal; y </w:t>
      </w:r>
      <w:r w:rsidRPr="003D30EC">
        <w:rPr>
          <w:rFonts w:ascii="Bookman Old Style" w:eastAsiaTheme="majorEastAsia" w:hAnsi="Bookman Old Style" w:cs="Bookman Old Style"/>
          <w:i/>
          <w:iCs/>
          <w:spacing w:val="0"/>
          <w:sz w:val="28"/>
          <w:szCs w:val="28"/>
          <w:lang w:val="es-ES"/>
        </w:rPr>
        <w:t>(</w:t>
      </w:r>
      <w:proofErr w:type="spellStart"/>
      <w:r w:rsidRPr="003D30EC">
        <w:rPr>
          <w:rFonts w:ascii="Bookman Old Style" w:eastAsiaTheme="majorEastAsia" w:hAnsi="Bookman Old Style" w:cs="Bookman Old Style"/>
          <w:i/>
          <w:iCs/>
          <w:spacing w:val="0"/>
          <w:sz w:val="28"/>
          <w:szCs w:val="28"/>
          <w:lang w:val="es-ES"/>
        </w:rPr>
        <w:t>iii</w:t>
      </w:r>
      <w:proofErr w:type="spellEnd"/>
      <w:r w:rsidRPr="003D30EC">
        <w:rPr>
          <w:rFonts w:ascii="Bookman Old Style" w:eastAsiaTheme="majorEastAsia" w:hAnsi="Bookman Old Style" w:cs="Bookman Old Style"/>
          <w:i/>
          <w:iCs/>
          <w:spacing w:val="0"/>
          <w:sz w:val="28"/>
          <w:szCs w:val="28"/>
          <w:lang w:val="es-ES"/>
        </w:rPr>
        <w:t>)</w:t>
      </w:r>
      <w:r w:rsidRPr="003D30EC">
        <w:rPr>
          <w:rFonts w:ascii="Bookman Old Style" w:eastAsiaTheme="majorEastAsia" w:hAnsi="Bookman Old Style" w:cs="Bookman Old Style"/>
          <w:spacing w:val="0"/>
          <w:sz w:val="28"/>
          <w:szCs w:val="28"/>
          <w:lang w:val="es-ES"/>
        </w:rPr>
        <w:t xml:space="preserve"> aunque la Ley 1708 de 2014 incorporó la acción extraordinaria de revisión en el Código de Extinción de Dominio, su aplicación retroactiva resulta inadmisible, aun cuando la sentencia de segunda instancia y el auto de corrección se hubieran proferido con posterioridad a su entrada en vigencia, pues tales decisiones fueron adoptadas dentro de un proceso regido por la Ley 793 de 2002. En </w:t>
      </w:r>
      <w:r w:rsidRPr="003D30EC">
        <w:rPr>
          <w:rFonts w:ascii="Bookman Old Style" w:eastAsiaTheme="majorEastAsia" w:hAnsi="Bookman Old Style" w:cs="Bookman Old Style"/>
          <w:spacing w:val="0"/>
          <w:sz w:val="28"/>
          <w:szCs w:val="28"/>
          <w:lang w:val="es-ES"/>
        </w:rPr>
        <w:lastRenderedPageBreak/>
        <w:t>consecuencia, concluyó que no era posible estudiar la causal invocada por el accionante y declaró improcedente la demanda</w:t>
      </w:r>
      <w:r w:rsidR="004268EE" w:rsidRPr="003D30EC">
        <w:rPr>
          <w:rFonts w:ascii="Bookman Old Style" w:eastAsiaTheme="majorEastAsia" w:hAnsi="Bookman Old Style" w:cs="Bookman Old Style"/>
          <w:spacing w:val="0"/>
          <w:sz w:val="28"/>
          <w:szCs w:val="28"/>
          <w:lang w:val="es-ES"/>
        </w:rPr>
        <w:t>.</w:t>
      </w:r>
    </w:p>
    <w:p w14:paraId="33716CDC" w14:textId="77777777" w:rsidR="004268EE" w:rsidRDefault="004268EE" w:rsidP="006C32A9">
      <w:pPr>
        <w:spacing w:line="360" w:lineRule="auto"/>
        <w:ind w:firstLine="708"/>
        <w:jc w:val="both"/>
        <w:rPr>
          <w:rFonts w:ascii="Bookman Old Style" w:hAnsi="Bookman Old Style"/>
          <w:spacing w:val="6"/>
          <w:sz w:val="28"/>
          <w:szCs w:val="28"/>
          <w:lang w:val="es-CO"/>
        </w:rPr>
      </w:pPr>
    </w:p>
    <w:p w14:paraId="682C9DDC" w14:textId="77777777" w:rsidR="0084658C" w:rsidRPr="001E0045" w:rsidRDefault="0084658C" w:rsidP="006C32A9">
      <w:pPr>
        <w:spacing w:line="360" w:lineRule="auto"/>
        <w:ind w:firstLine="708"/>
        <w:jc w:val="both"/>
        <w:rPr>
          <w:rFonts w:ascii="Bookman Old Style" w:hAnsi="Bookman Old Style"/>
          <w:spacing w:val="6"/>
          <w:sz w:val="28"/>
          <w:szCs w:val="28"/>
          <w:lang w:val="es-CO"/>
        </w:rPr>
      </w:pPr>
    </w:p>
    <w:p w14:paraId="5DCC64F0" w14:textId="00A51BAA" w:rsidR="00E93806" w:rsidRPr="000F7B29" w:rsidRDefault="00C021E3" w:rsidP="009D7FCD">
      <w:pPr>
        <w:pStyle w:val="Prrafodelista"/>
        <w:keepNext/>
        <w:numPr>
          <w:ilvl w:val="0"/>
          <w:numId w:val="10"/>
        </w:numPr>
        <w:suppressAutoHyphens/>
        <w:overflowPunct/>
        <w:autoSpaceDE/>
        <w:autoSpaceDN/>
        <w:adjustRightInd/>
        <w:spacing w:line="360" w:lineRule="auto"/>
        <w:contextualSpacing w:val="0"/>
        <w:jc w:val="center"/>
        <w:textAlignment w:val="auto"/>
        <w:outlineLvl w:val="0"/>
        <w:rPr>
          <w:rFonts w:ascii="Bookman Old Style" w:hAnsi="Bookman Old Style"/>
          <w:b/>
          <w:spacing w:val="6"/>
          <w:sz w:val="28"/>
          <w:szCs w:val="28"/>
          <w:lang w:val="es-CO"/>
        </w:rPr>
      </w:pPr>
      <w:r>
        <w:rPr>
          <w:rFonts w:ascii="Bookman Old Style" w:hAnsi="Bookman Old Style"/>
          <w:b/>
          <w:spacing w:val="6"/>
          <w:sz w:val="28"/>
          <w:szCs w:val="28"/>
          <w:lang w:val="es-CO"/>
        </w:rPr>
        <w:t>SÍNTESIS DE LA APELACIÓN</w:t>
      </w:r>
    </w:p>
    <w:p w14:paraId="376C0954" w14:textId="77777777" w:rsidR="004C47C6" w:rsidRDefault="004C47C6" w:rsidP="006C32A9">
      <w:pPr>
        <w:spacing w:line="360" w:lineRule="auto"/>
        <w:ind w:firstLine="709"/>
        <w:rPr>
          <w:rFonts w:ascii="Bookman Old Style" w:hAnsi="Bookman Old Style"/>
          <w:spacing w:val="6"/>
          <w:sz w:val="28"/>
          <w:szCs w:val="28"/>
          <w:lang w:val="es-CO"/>
        </w:rPr>
      </w:pPr>
    </w:p>
    <w:p w14:paraId="12EDEF90" w14:textId="77777777" w:rsidR="0084658C" w:rsidRDefault="0084658C" w:rsidP="006C32A9">
      <w:pPr>
        <w:spacing w:line="360" w:lineRule="auto"/>
        <w:ind w:firstLine="709"/>
        <w:rPr>
          <w:rFonts w:ascii="Bookman Old Style" w:hAnsi="Bookman Old Style"/>
          <w:spacing w:val="6"/>
          <w:sz w:val="28"/>
          <w:szCs w:val="28"/>
          <w:lang w:val="es-CO"/>
        </w:rPr>
      </w:pPr>
    </w:p>
    <w:p w14:paraId="2D2680E0" w14:textId="32255080" w:rsidR="009D0B09" w:rsidRPr="009D7FCD" w:rsidRDefault="00F67818" w:rsidP="009D7FCD">
      <w:pPr>
        <w:pStyle w:val="Prrafodelista"/>
        <w:numPr>
          <w:ilvl w:val="0"/>
          <w:numId w:val="28"/>
        </w:numPr>
        <w:spacing w:line="360" w:lineRule="auto"/>
        <w:ind w:left="0" w:firstLine="720"/>
        <w:jc w:val="both"/>
        <w:rPr>
          <w:rFonts w:ascii="Bookman Old Style" w:hAnsi="Bookman Old Style" w:cs="Bookman Old Style"/>
          <w:spacing w:val="0"/>
          <w:sz w:val="28"/>
          <w:szCs w:val="28"/>
          <w:lang w:eastAsia="es-ES_tradnl"/>
        </w:rPr>
      </w:pPr>
      <w:r w:rsidRPr="009D7FCD">
        <w:rPr>
          <w:rFonts w:ascii="Bookman Old Style" w:hAnsi="Bookman Old Style" w:cs="Bookman Old Style"/>
          <w:spacing w:val="0"/>
          <w:sz w:val="28"/>
          <w:szCs w:val="28"/>
          <w:lang w:eastAsia="es-ES_tradnl"/>
        </w:rPr>
        <w:t>El apoderado de EDMOND JOSÉ BECHARA DONADO solicitó revocar el auto recurrido</w:t>
      </w:r>
      <w:r w:rsidR="006517BE" w:rsidRPr="009D7FCD">
        <w:rPr>
          <w:rFonts w:ascii="Bookman Old Style" w:hAnsi="Bookman Old Style" w:cs="Bookman Old Style"/>
          <w:spacing w:val="0"/>
          <w:sz w:val="28"/>
          <w:szCs w:val="28"/>
          <w:lang w:eastAsia="es-ES_tradnl"/>
        </w:rPr>
        <w:t>;</w:t>
      </w:r>
      <w:r w:rsidRPr="009D7FCD">
        <w:rPr>
          <w:rFonts w:ascii="Bookman Old Style" w:hAnsi="Bookman Old Style" w:cs="Bookman Old Style"/>
          <w:spacing w:val="0"/>
          <w:sz w:val="28"/>
          <w:szCs w:val="28"/>
          <w:lang w:eastAsia="es-ES_tradnl"/>
        </w:rPr>
        <w:t xml:space="preserve"> y, en su lugar, declarar procedente la acción de revisión para que se le impartiera el trámite correspondiente.</w:t>
      </w:r>
    </w:p>
    <w:p w14:paraId="3AA33BCA" w14:textId="77777777" w:rsidR="009D0B09" w:rsidRPr="00A5292A" w:rsidRDefault="009D0B09" w:rsidP="006C32A9">
      <w:pPr>
        <w:pStyle w:val="Prrafodelista"/>
        <w:spacing w:line="360" w:lineRule="auto"/>
        <w:ind w:left="0" w:firstLine="720"/>
        <w:jc w:val="both"/>
        <w:rPr>
          <w:rFonts w:ascii="Bookman Old Style" w:hAnsi="Bookman Old Style" w:cs="Bookman Old Style"/>
          <w:spacing w:val="0"/>
          <w:sz w:val="28"/>
          <w:szCs w:val="28"/>
          <w:lang w:eastAsia="es-ES_tradnl"/>
        </w:rPr>
      </w:pPr>
    </w:p>
    <w:p w14:paraId="5AB29345" w14:textId="4F6A109E" w:rsidR="009D0B09" w:rsidRPr="00A5292A" w:rsidRDefault="00524FF2" w:rsidP="009D7FCD">
      <w:pPr>
        <w:pStyle w:val="Prrafodelista"/>
        <w:numPr>
          <w:ilvl w:val="1"/>
          <w:numId w:val="28"/>
        </w:numPr>
        <w:spacing w:line="360" w:lineRule="auto"/>
        <w:ind w:left="0" w:firstLine="720"/>
        <w:jc w:val="both"/>
        <w:rPr>
          <w:rFonts w:ascii="Bookman Old Style" w:hAnsi="Bookman Old Style" w:cs="Bookman Old Style"/>
          <w:spacing w:val="0"/>
          <w:sz w:val="28"/>
          <w:szCs w:val="28"/>
          <w:lang w:eastAsia="es-ES_tradnl"/>
        </w:rPr>
      </w:pPr>
      <w:r>
        <w:rPr>
          <w:rFonts w:ascii="Bookman Old Style" w:hAnsi="Bookman Old Style" w:cs="Bookman Old Style"/>
          <w:spacing w:val="0"/>
          <w:sz w:val="28"/>
          <w:szCs w:val="28"/>
          <w:lang w:eastAsia="es-ES_tradnl"/>
        </w:rPr>
        <w:t>E</w:t>
      </w:r>
      <w:r w:rsidR="00084396" w:rsidRPr="00A5292A">
        <w:rPr>
          <w:rFonts w:ascii="Bookman Old Style" w:hAnsi="Bookman Old Style" w:cs="Bookman Old Style"/>
          <w:spacing w:val="0"/>
          <w:sz w:val="28"/>
          <w:szCs w:val="28"/>
          <w:lang w:eastAsia="es-ES_tradnl"/>
        </w:rPr>
        <w:t>l artículo 73 de la Ley 1708 de 2014</w:t>
      </w:r>
      <w:r w:rsidR="006517BE">
        <w:rPr>
          <w:rFonts w:ascii="Bookman Old Style" w:hAnsi="Bookman Old Style" w:cs="Bookman Old Style"/>
          <w:spacing w:val="0"/>
          <w:sz w:val="28"/>
          <w:szCs w:val="28"/>
          <w:lang w:eastAsia="es-ES_tradnl"/>
        </w:rPr>
        <w:t>,</w:t>
      </w:r>
      <w:r w:rsidR="00084396" w:rsidRPr="00A5292A">
        <w:rPr>
          <w:rFonts w:ascii="Bookman Old Style" w:hAnsi="Bookman Old Style" w:cs="Bookman Old Style"/>
          <w:spacing w:val="0"/>
          <w:sz w:val="28"/>
          <w:szCs w:val="28"/>
          <w:lang w:eastAsia="es-ES_tradnl"/>
        </w:rPr>
        <w:t xml:space="preserve"> </w:t>
      </w:r>
      <w:r>
        <w:rPr>
          <w:rFonts w:ascii="Bookman Old Style" w:hAnsi="Bookman Old Style" w:cs="Bookman Old Style"/>
          <w:spacing w:val="0"/>
          <w:sz w:val="28"/>
          <w:szCs w:val="28"/>
          <w:lang w:eastAsia="es-ES_tradnl"/>
        </w:rPr>
        <w:t xml:space="preserve">prevé </w:t>
      </w:r>
      <w:r w:rsidR="006517BE">
        <w:rPr>
          <w:rFonts w:ascii="Bookman Old Style" w:hAnsi="Bookman Old Style" w:cs="Bookman Old Style"/>
          <w:spacing w:val="0"/>
          <w:sz w:val="28"/>
          <w:szCs w:val="28"/>
          <w:lang w:eastAsia="es-ES_tradnl"/>
        </w:rPr>
        <w:t xml:space="preserve">que la acción de revisión </w:t>
      </w:r>
      <w:r w:rsidR="00084396" w:rsidRPr="00A5292A">
        <w:rPr>
          <w:rFonts w:ascii="Bookman Old Style" w:hAnsi="Bookman Old Style" w:cs="Bookman Old Style"/>
          <w:spacing w:val="0"/>
          <w:sz w:val="28"/>
          <w:szCs w:val="28"/>
          <w:lang w:eastAsia="es-ES_tradnl"/>
        </w:rPr>
        <w:t>procede contra sentencias ejecutoriadas en materia de extinción de dominio, sin exigir que la decisión cuestionada haya sido proferida bajo ese mismo estatuto. En su criterio, la revisión es un trámite autónomo y posterior a la sentencia, por lo que debe regirse por la ley vigente al momento de su presentación.</w:t>
      </w:r>
    </w:p>
    <w:p w14:paraId="0FC89AFB" w14:textId="77777777" w:rsidR="009D0B09" w:rsidRPr="00A5292A" w:rsidRDefault="009D0B09" w:rsidP="006C32A9">
      <w:pPr>
        <w:pStyle w:val="Prrafodelista"/>
        <w:spacing w:line="360" w:lineRule="auto"/>
        <w:ind w:left="0" w:firstLine="720"/>
        <w:rPr>
          <w:rFonts w:ascii="Bookman Old Style" w:hAnsi="Bookman Old Style" w:cs="Bookman Old Style"/>
          <w:spacing w:val="0"/>
          <w:sz w:val="28"/>
          <w:szCs w:val="28"/>
          <w:lang w:eastAsia="es-ES_tradnl"/>
        </w:rPr>
      </w:pPr>
    </w:p>
    <w:p w14:paraId="6FFD8A37" w14:textId="0BBB7B58" w:rsidR="009D0B09" w:rsidRPr="00A5292A" w:rsidRDefault="00524FF2" w:rsidP="009D7FCD">
      <w:pPr>
        <w:pStyle w:val="Prrafodelista"/>
        <w:numPr>
          <w:ilvl w:val="1"/>
          <w:numId w:val="28"/>
        </w:numPr>
        <w:spacing w:line="360" w:lineRule="auto"/>
        <w:ind w:left="0" w:firstLine="720"/>
        <w:jc w:val="both"/>
        <w:rPr>
          <w:rFonts w:ascii="Bookman Old Style" w:hAnsi="Bookman Old Style" w:cs="Bookman Old Style"/>
          <w:spacing w:val="0"/>
          <w:sz w:val="28"/>
          <w:szCs w:val="28"/>
          <w:lang w:eastAsia="es-ES_tradnl"/>
        </w:rPr>
      </w:pPr>
      <w:r w:rsidRPr="00A5292A">
        <w:rPr>
          <w:rFonts w:ascii="Bookman Old Style" w:hAnsi="Bookman Old Style" w:cs="Bookman Old Style"/>
          <w:spacing w:val="0"/>
          <w:sz w:val="28"/>
          <w:szCs w:val="28"/>
          <w:lang w:eastAsia="es-ES_tradnl"/>
        </w:rPr>
        <w:t xml:space="preserve">La </w:t>
      </w:r>
      <w:r w:rsidR="0084658C" w:rsidRPr="00A5292A">
        <w:rPr>
          <w:rFonts w:ascii="Bookman Old Style" w:hAnsi="Bookman Old Style" w:cs="Bookman Old Style"/>
          <w:spacing w:val="0"/>
          <w:sz w:val="28"/>
          <w:szCs w:val="28"/>
          <w:lang w:eastAsia="es-ES_tradnl"/>
        </w:rPr>
        <w:t>sentencia de tutela STP14200-2022 reconoció que su pretensión podía canalizarse a través de la acción extraordinaria de revisión, con fundamento en el artículo 73-1 de la Ley 1708 de 2014. Por ello, consideró contradictorio que ahora se negara su procedencia.</w:t>
      </w:r>
    </w:p>
    <w:p w14:paraId="6CAC62A7" w14:textId="77777777" w:rsidR="009D0B09" w:rsidRPr="00A5292A" w:rsidRDefault="009D0B09" w:rsidP="006C32A9">
      <w:pPr>
        <w:pStyle w:val="Prrafodelista"/>
        <w:spacing w:line="360" w:lineRule="auto"/>
        <w:ind w:left="0" w:firstLine="720"/>
        <w:rPr>
          <w:rFonts w:ascii="Bookman Old Style" w:hAnsi="Bookman Old Style" w:cs="Bookman Old Style"/>
          <w:spacing w:val="0"/>
          <w:sz w:val="28"/>
          <w:szCs w:val="28"/>
          <w:lang w:eastAsia="es-ES_tradnl"/>
        </w:rPr>
      </w:pPr>
    </w:p>
    <w:p w14:paraId="64945F40" w14:textId="77777777" w:rsidR="00A5292A" w:rsidRPr="00A5292A" w:rsidRDefault="00084396" w:rsidP="009D7FCD">
      <w:pPr>
        <w:pStyle w:val="Prrafodelista"/>
        <w:numPr>
          <w:ilvl w:val="1"/>
          <w:numId w:val="28"/>
        </w:numPr>
        <w:spacing w:line="360" w:lineRule="auto"/>
        <w:ind w:left="0" w:firstLine="720"/>
        <w:jc w:val="both"/>
        <w:rPr>
          <w:rFonts w:ascii="Bookman Old Style" w:hAnsi="Bookman Old Style" w:cs="Bookman Old Style"/>
          <w:spacing w:val="0"/>
          <w:sz w:val="28"/>
          <w:szCs w:val="28"/>
          <w:lang w:eastAsia="es-ES_tradnl"/>
        </w:rPr>
      </w:pPr>
      <w:r w:rsidRPr="00A5292A">
        <w:rPr>
          <w:rFonts w:ascii="Bookman Old Style" w:hAnsi="Bookman Old Style" w:cs="Bookman Old Style"/>
          <w:spacing w:val="0"/>
          <w:sz w:val="28"/>
          <w:szCs w:val="28"/>
          <w:lang w:eastAsia="es-ES_tradnl"/>
        </w:rPr>
        <w:t xml:space="preserve">Cuestionó la aplicación del precedente AP3510-2019, pues, según dijo, en ese caso el afectado sí fue vinculado al proceso y ejerció los recursos ordinarios. En cambio, afirmó que </w:t>
      </w:r>
      <w:r w:rsidRPr="00A5292A">
        <w:rPr>
          <w:rFonts w:ascii="Bookman Old Style" w:hAnsi="Bookman Old Style" w:cs="Bookman Old Style"/>
          <w:spacing w:val="0"/>
          <w:sz w:val="28"/>
          <w:szCs w:val="28"/>
          <w:lang w:eastAsia="es-ES_tradnl"/>
        </w:rPr>
        <w:lastRenderedPageBreak/>
        <w:t>BECHARA DONADO nunca fue oído ni reconocido dentro del trámite extintivo, pese a su interés como heredero.</w:t>
      </w:r>
    </w:p>
    <w:p w14:paraId="2B17070C" w14:textId="77777777" w:rsidR="00A5292A" w:rsidRPr="00A5292A" w:rsidRDefault="00A5292A" w:rsidP="006C32A9">
      <w:pPr>
        <w:pStyle w:val="Prrafodelista"/>
        <w:spacing w:line="360" w:lineRule="auto"/>
        <w:ind w:left="0" w:firstLine="720"/>
        <w:rPr>
          <w:rFonts w:ascii="Bookman Old Style" w:hAnsi="Bookman Old Style" w:cs="Bookman Old Style"/>
          <w:spacing w:val="0"/>
          <w:sz w:val="28"/>
          <w:szCs w:val="28"/>
          <w:lang w:eastAsia="es-ES_tradnl"/>
        </w:rPr>
      </w:pPr>
    </w:p>
    <w:p w14:paraId="27C68BBD" w14:textId="6276046B" w:rsidR="00084396" w:rsidRPr="00A5292A" w:rsidRDefault="00084396" w:rsidP="009D7FCD">
      <w:pPr>
        <w:pStyle w:val="Prrafodelista"/>
        <w:numPr>
          <w:ilvl w:val="1"/>
          <w:numId w:val="28"/>
        </w:numPr>
        <w:spacing w:line="360" w:lineRule="auto"/>
        <w:ind w:left="0" w:firstLine="720"/>
        <w:jc w:val="both"/>
        <w:rPr>
          <w:rFonts w:ascii="Bookman Old Style" w:hAnsi="Bookman Old Style" w:cs="Bookman Old Style"/>
          <w:spacing w:val="0"/>
          <w:sz w:val="28"/>
          <w:szCs w:val="28"/>
          <w:lang w:eastAsia="es-ES_tradnl"/>
        </w:rPr>
      </w:pPr>
      <w:r w:rsidRPr="00A5292A">
        <w:rPr>
          <w:rFonts w:ascii="Bookman Old Style" w:hAnsi="Bookman Old Style" w:cs="Bookman Old Style"/>
          <w:spacing w:val="0"/>
          <w:sz w:val="28"/>
          <w:szCs w:val="28"/>
          <w:lang w:eastAsia="es-ES_tradnl"/>
        </w:rPr>
        <w:t>Finalmente, alegó que la sentencia civil de simulación del 22 de agosto de 2017 constituye un hecho y una prueba nueva, pues declaró la simulación relativa de las compraventas, anuló las escrituras y restableció la titularidad de los bienes en cabeza de EDMUNDO JOSÉ BECHARA CASTUNY. A su juicio, negar la revisión vulnera sus derechos al debido proceso, a la propiedad privada y al acceso a la administración de justicia.</w:t>
      </w:r>
    </w:p>
    <w:p w14:paraId="78F1E9DE" w14:textId="77777777" w:rsidR="00F67818" w:rsidRDefault="00F67818" w:rsidP="006C32A9">
      <w:pPr>
        <w:spacing w:line="360" w:lineRule="auto"/>
        <w:ind w:firstLine="709"/>
        <w:jc w:val="both"/>
        <w:rPr>
          <w:rFonts w:ascii="Bookman Old Style" w:hAnsi="Bookman Old Style"/>
          <w:spacing w:val="6"/>
          <w:sz w:val="28"/>
          <w:szCs w:val="28"/>
          <w:lang w:val="es-CO"/>
        </w:rPr>
      </w:pPr>
    </w:p>
    <w:p w14:paraId="1AC441DF" w14:textId="77777777" w:rsidR="00A5292A" w:rsidRPr="001E0045" w:rsidRDefault="00A5292A" w:rsidP="006C32A9">
      <w:pPr>
        <w:spacing w:line="360" w:lineRule="auto"/>
        <w:ind w:firstLine="709"/>
        <w:jc w:val="both"/>
        <w:rPr>
          <w:rFonts w:ascii="Bookman Old Style" w:hAnsi="Bookman Old Style"/>
          <w:spacing w:val="6"/>
          <w:sz w:val="28"/>
          <w:szCs w:val="28"/>
          <w:lang w:val="es-CO"/>
        </w:rPr>
      </w:pPr>
    </w:p>
    <w:p w14:paraId="19E8756F" w14:textId="6EE62978" w:rsidR="00CF03E0" w:rsidRPr="000F7B29" w:rsidRDefault="00CF03E0" w:rsidP="009D7FCD">
      <w:pPr>
        <w:pStyle w:val="Prrafodelista"/>
        <w:keepNext/>
        <w:numPr>
          <w:ilvl w:val="0"/>
          <w:numId w:val="10"/>
        </w:numPr>
        <w:suppressAutoHyphens/>
        <w:overflowPunct/>
        <w:autoSpaceDE/>
        <w:autoSpaceDN/>
        <w:adjustRightInd/>
        <w:spacing w:line="360" w:lineRule="auto"/>
        <w:contextualSpacing w:val="0"/>
        <w:jc w:val="center"/>
        <w:textAlignment w:val="auto"/>
        <w:outlineLvl w:val="0"/>
        <w:rPr>
          <w:rFonts w:ascii="Bookman Old Style" w:hAnsi="Bookman Old Style"/>
          <w:b/>
          <w:spacing w:val="6"/>
          <w:sz w:val="28"/>
          <w:szCs w:val="28"/>
          <w:lang w:val="es-CO"/>
        </w:rPr>
      </w:pPr>
      <w:r w:rsidRPr="001E0045">
        <w:rPr>
          <w:rFonts w:ascii="Bookman Old Style" w:hAnsi="Bookman Old Style"/>
          <w:b/>
          <w:spacing w:val="6"/>
          <w:sz w:val="28"/>
          <w:szCs w:val="28"/>
          <w:lang w:val="es-CO"/>
        </w:rPr>
        <w:t>CONSIDERACIONES</w:t>
      </w:r>
    </w:p>
    <w:p w14:paraId="11F7F9E8" w14:textId="77777777" w:rsidR="004C47C6" w:rsidRDefault="004C47C6" w:rsidP="006C32A9">
      <w:pPr>
        <w:pStyle w:val="Prrafodelista"/>
        <w:spacing w:line="360" w:lineRule="auto"/>
        <w:ind w:left="0" w:firstLine="709"/>
        <w:contextualSpacing w:val="0"/>
        <w:rPr>
          <w:rFonts w:ascii="Bookman Old Style" w:hAnsi="Bookman Old Style"/>
          <w:bCs/>
          <w:spacing w:val="6"/>
          <w:sz w:val="28"/>
          <w:szCs w:val="28"/>
          <w:lang w:val="es-CO"/>
        </w:rPr>
      </w:pPr>
    </w:p>
    <w:p w14:paraId="3CC420ED" w14:textId="77777777" w:rsidR="00A5292A" w:rsidRPr="001E0045" w:rsidRDefault="00A5292A" w:rsidP="006C32A9">
      <w:pPr>
        <w:pStyle w:val="Prrafodelista"/>
        <w:spacing w:line="360" w:lineRule="auto"/>
        <w:ind w:left="0" w:firstLine="709"/>
        <w:contextualSpacing w:val="0"/>
        <w:rPr>
          <w:rFonts w:ascii="Bookman Old Style" w:hAnsi="Bookman Old Style"/>
          <w:bCs/>
          <w:spacing w:val="6"/>
          <w:sz w:val="28"/>
          <w:szCs w:val="28"/>
          <w:lang w:val="es-CO"/>
        </w:rPr>
      </w:pPr>
    </w:p>
    <w:p w14:paraId="35286FF9" w14:textId="12EBB8D4" w:rsidR="00BA5A0B" w:rsidRDefault="002E3D75" w:rsidP="009D7FCD">
      <w:pPr>
        <w:pStyle w:val="Style1"/>
        <w:numPr>
          <w:ilvl w:val="0"/>
          <w:numId w:val="27"/>
        </w:numPr>
        <w:spacing w:line="360" w:lineRule="auto"/>
        <w:ind w:left="0" w:firstLine="720"/>
        <w:contextualSpacing/>
        <w:jc w:val="both"/>
        <w:rPr>
          <w:sz w:val="28"/>
          <w:szCs w:val="28"/>
          <w:lang w:val="es-CO"/>
        </w:rPr>
      </w:pPr>
      <w:r w:rsidRPr="002E3D75">
        <w:rPr>
          <w:sz w:val="28"/>
          <w:szCs w:val="28"/>
          <w:lang w:val="es-CO"/>
        </w:rPr>
        <w:t xml:space="preserve">La Corte </w:t>
      </w:r>
      <w:r w:rsidR="00D70889">
        <w:rPr>
          <w:sz w:val="28"/>
          <w:szCs w:val="28"/>
          <w:lang w:val="es-CO"/>
        </w:rPr>
        <w:t xml:space="preserve">es competente </w:t>
      </w:r>
      <w:r w:rsidRPr="002E3D75">
        <w:rPr>
          <w:sz w:val="28"/>
          <w:szCs w:val="28"/>
          <w:lang w:val="es-CO"/>
        </w:rPr>
        <w:t xml:space="preserve">para pronunciarse </w:t>
      </w:r>
      <w:r w:rsidR="00646942">
        <w:rPr>
          <w:sz w:val="28"/>
          <w:szCs w:val="28"/>
          <w:lang w:val="es-CO"/>
        </w:rPr>
        <w:t>sobre</w:t>
      </w:r>
      <w:r w:rsidRPr="002E3D75">
        <w:rPr>
          <w:sz w:val="28"/>
          <w:szCs w:val="28"/>
          <w:lang w:val="es-CO"/>
        </w:rPr>
        <w:t xml:space="preserve"> </w:t>
      </w:r>
      <w:r w:rsidR="00646942">
        <w:rPr>
          <w:sz w:val="28"/>
          <w:szCs w:val="28"/>
          <w:lang w:val="es-CO"/>
        </w:rPr>
        <w:t>las</w:t>
      </w:r>
      <w:r w:rsidRPr="002E3D75">
        <w:rPr>
          <w:sz w:val="28"/>
          <w:szCs w:val="28"/>
          <w:lang w:val="es-CO"/>
        </w:rPr>
        <w:t xml:space="preserve"> decisiones dictadas en primera instancia por las Salas de Extinción de Dominio de los Tribunales Superiores de Distrito Judicial, en asuntos de esta naturaleza</w:t>
      </w:r>
      <w:r w:rsidR="00646942">
        <w:rPr>
          <w:sz w:val="28"/>
          <w:szCs w:val="28"/>
          <w:lang w:val="es-CO"/>
        </w:rPr>
        <w:t>. Esa facultad proviene</w:t>
      </w:r>
      <w:r w:rsidRPr="002E3D75">
        <w:rPr>
          <w:sz w:val="28"/>
          <w:szCs w:val="28"/>
          <w:lang w:val="es-CO"/>
        </w:rPr>
        <w:t xml:space="preserve"> del artículo 37 de la Ley 1708 de 2014, que la restringe a los </w:t>
      </w:r>
      <w:r w:rsidRPr="002E3D75">
        <w:rPr>
          <w:i/>
          <w:iCs/>
          <w:sz w:val="28"/>
          <w:szCs w:val="28"/>
          <w:lang w:val="es-CO"/>
        </w:rPr>
        <w:t>“recursos de apelación y queja interpuestos contra los autos y sentencias […] proferidos en el trámite de la acción extraordinaria de revisión”</w:t>
      </w:r>
      <w:r w:rsidRPr="002E3D75">
        <w:rPr>
          <w:sz w:val="28"/>
          <w:szCs w:val="28"/>
          <w:lang w:val="es-CO"/>
        </w:rPr>
        <w:t>.</w:t>
      </w:r>
    </w:p>
    <w:p w14:paraId="53993CCD" w14:textId="77777777" w:rsidR="00BA5A0B" w:rsidRDefault="00BA5A0B" w:rsidP="006C32A9">
      <w:pPr>
        <w:pStyle w:val="Style1"/>
        <w:spacing w:line="360" w:lineRule="auto"/>
        <w:ind w:left="720"/>
        <w:contextualSpacing/>
        <w:jc w:val="both"/>
        <w:rPr>
          <w:sz w:val="28"/>
          <w:szCs w:val="28"/>
          <w:lang w:val="es-CO"/>
        </w:rPr>
      </w:pPr>
    </w:p>
    <w:p w14:paraId="0EC64DA6" w14:textId="77777777" w:rsidR="009D7FCD" w:rsidRDefault="002E3D75" w:rsidP="009D7FCD">
      <w:pPr>
        <w:pStyle w:val="Style1"/>
        <w:numPr>
          <w:ilvl w:val="0"/>
          <w:numId w:val="27"/>
        </w:numPr>
        <w:spacing w:line="360" w:lineRule="auto"/>
        <w:ind w:left="0" w:firstLine="709"/>
        <w:contextualSpacing/>
        <w:jc w:val="both"/>
        <w:rPr>
          <w:sz w:val="28"/>
          <w:szCs w:val="28"/>
          <w:lang w:val="es-CO"/>
        </w:rPr>
      </w:pPr>
      <w:r w:rsidRPr="00BA5A0B">
        <w:rPr>
          <w:sz w:val="28"/>
          <w:szCs w:val="28"/>
          <w:lang w:val="es-CO"/>
        </w:rPr>
        <w:t>Bajo ese entendido</w:t>
      </w:r>
      <w:r w:rsidR="00893334">
        <w:rPr>
          <w:sz w:val="28"/>
          <w:szCs w:val="28"/>
          <w:lang w:val="es-CO"/>
        </w:rPr>
        <w:t>,</w:t>
      </w:r>
      <w:r w:rsidRPr="00BA5A0B">
        <w:rPr>
          <w:sz w:val="28"/>
          <w:szCs w:val="28"/>
          <w:lang w:val="es-CO"/>
        </w:rPr>
        <w:t xml:space="preserve"> y sin perjuicio de las razones que más adelante se </w:t>
      </w:r>
      <w:r w:rsidR="00893334">
        <w:rPr>
          <w:sz w:val="28"/>
          <w:szCs w:val="28"/>
          <w:lang w:val="es-CO"/>
        </w:rPr>
        <w:t>exponen</w:t>
      </w:r>
      <w:r w:rsidRPr="00BA5A0B">
        <w:rPr>
          <w:sz w:val="28"/>
          <w:szCs w:val="28"/>
          <w:lang w:val="es-CO"/>
        </w:rPr>
        <w:t xml:space="preserve">, </w:t>
      </w:r>
      <w:r w:rsidR="00A21764">
        <w:rPr>
          <w:sz w:val="28"/>
          <w:szCs w:val="28"/>
          <w:lang w:val="es-CO"/>
        </w:rPr>
        <w:t xml:space="preserve">la Sala abordará la </w:t>
      </w:r>
      <w:r w:rsidRPr="00BA5A0B">
        <w:rPr>
          <w:sz w:val="28"/>
          <w:szCs w:val="28"/>
          <w:lang w:val="es-CO"/>
        </w:rPr>
        <w:t xml:space="preserve">petición </w:t>
      </w:r>
      <w:r w:rsidR="00A21764">
        <w:rPr>
          <w:sz w:val="28"/>
          <w:szCs w:val="28"/>
          <w:lang w:val="es-CO"/>
        </w:rPr>
        <w:t>formulada,</w:t>
      </w:r>
      <w:r w:rsidRPr="00BA5A0B">
        <w:rPr>
          <w:sz w:val="28"/>
          <w:szCs w:val="28"/>
          <w:lang w:val="es-CO"/>
        </w:rPr>
        <w:t xml:space="preserve"> al margen de que la misma no tenga cabida con soporte en la normatividad en que se fundamenta la solicitud</w:t>
      </w:r>
      <w:r w:rsidR="00763579">
        <w:rPr>
          <w:rStyle w:val="Refdenotaalpie"/>
          <w:sz w:val="28"/>
          <w:szCs w:val="28"/>
          <w:lang w:val="es-CO"/>
        </w:rPr>
        <w:footnoteReference w:id="6"/>
      </w:r>
      <w:r w:rsidRPr="00BA5A0B">
        <w:rPr>
          <w:sz w:val="28"/>
          <w:szCs w:val="28"/>
          <w:lang w:val="es-CO"/>
        </w:rPr>
        <w:t>.</w:t>
      </w:r>
    </w:p>
    <w:p w14:paraId="689D81FD" w14:textId="77777777" w:rsidR="009D7FCD" w:rsidRDefault="009D7FCD" w:rsidP="009D7FCD">
      <w:pPr>
        <w:pStyle w:val="Prrafodelista"/>
        <w:rPr>
          <w:color w:val="FF0000"/>
          <w:sz w:val="28"/>
          <w:szCs w:val="28"/>
          <w:highlight w:val="cyan"/>
          <w:lang w:val="es-CO"/>
        </w:rPr>
      </w:pPr>
    </w:p>
    <w:p w14:paraId="11F35AD9" w14:textId="77777777" w:rsidR="009D7FCD" w:rsidRDefault="002E3D75"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lastRenderedPageBreak/>
        <w:t>El artículo 217 de la Ley 1708 de 2014</w:t>
      </w:r>
      <w:r w:rsidR="00524FF2">
        <w:rPr>
          <w:rStyle w:val="Refdenotaalpie"/>
          <w:sz w:val="28"/>
          <w:szCs w:val="28"/>
          <w:lang w:val="es-CO"/>
        </w:rPr>
        <w:footnoteReference w:id="7"/>
      </w:r>
      <w:r w:rsidRPr="009D7FCD">
        <w:rPr>
          <w:sz w:val="28"/>
          <w:szCs w:val="28"/>
          <w:lang w:val="es-CO"/>
        </w:rPr>
        <w:t xml:space="preserve"> consagra el régimen de transición aplicable a los procesos de extinción de dominio iniciados antes de su entrada en vigencia. En concreto, dispone que aquellos en los que se hubiera proferido resolución de inicio con fundamento en las causales previstas en la Ley 793 de 2002, o en la Ley 1453 de 2011, continuarán rigiéndose por esas disposiciones.</w:t>
      </w:r>
    </w:p>
    <w:p w14:paraId="3FF0E98F" w14:textId="77777777" w:rsidR="009D7FCD" w:rsidRDefault="009D7FCD" w:rsidP="009D7FCD">
      <w:pPr>
        <w:pStyle w:val="Prrafodelista"/>
        <w:rPr>
          <w:sz w:val="28"/>
          <w:szCs w:val="28"/>
          <w:lang w:val="es-CO"/>
        </w:rPr>
      </w:pPr>
    </w:p>
    <w:p w14:paraId="525DE957" w14:textId="77777777" w:rsidR="009D7FCD" w:rsidRDefault="002E3D75"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 xml:space="preserve">A partir de esa regla, la </w:t>
      </w:r>
      <w:r w:rsidR="00FB531C" w:rsidRPr="009D7FCD">
        <w:rPr>
          <w:sz w:val="28"/>
          <w:szCs w:val="28"/>
          <w:lang w:val="es-CO"/>
        </w:rPr>
        <w:t>Corte</w:t>
      </w:r>
      <w:r w:rsidRPr="009D7FCD">
        <w:rPr>
          <w:sz w:val="28"/>
          <w:szCs w:val="28"/>
          <w:lang w:val="es-CO"/>
        </w:rPr>
        <w:t xml:space="preserve"> </w:t>
      </w:r>
      <w:r w:rsidR="00FB531C" w:rsidRPr="009D7FCD">
        <w:rPr>
          <w:sz w:val="28"/>
          <w:szCs w:val="28"/>
          <w:lang w:val="es-CO"/>
        </w:rPr>
        <w:t>ha sostenido</w:t>
      </w:r>
      <w:r w:rsidRPr="009D7FCD">
        <w:rPr>
          <w:sz w:val="28"/>
          <w:szCs w:val="28"/>
          <w:lang w:val="es-CO"/>
        </w:rPr>
        <w:t xml:space="preserve"> que los trámites iniciados bajo la Ley 793 de 2002 deben agotarse íntegramente con sujeción a dicho régimen, incluidas sus instituciones sustanciales y procesales. Por tanto, no resulta admisible aplicar de manera retroactiva la acción de revisión prevista en la Ley 1708 de 2014 a procesos gobernados por una normativa anterior que no contemplaba ese mecanismo</w:t>
      </w:r>
      <w:r w:rsidR="005E48F3">
        <w:rPr>
          <w:rStyle w:val="Refdenotaalpie"/>
          <w:sz w:val="28"/>
          <w:szCs w:val="28"/>
          <w:lang w:val="es-CO"/>
        </w:rPr>
        <w:footnoteReference w:id="8"/>
      </w:r>
      <w:r w:rsidR="00E23D47" w:rsidRPr="009D7FCD">
        <w:rPr>
          <w:sz w:val="28"/>
          <w:szCs w:val="28"/>
          <w:lang w:val="es-CO"/>
        </w:rPr>
        <w:t xml:space="preserve">, como </w:t>
      </w:r>
      <w:r w:rsidR="00F0047D" w:rsidRPr="009D7FCD">
        <w:rPr>
          <w:sz w:val="28"/>
          <w:szCs w:val="28"/>
          <w:lang w:val="es-CO"/>
        </w:rPr>
        <w:t>lo plantea el accionante</w:t>
      </w:r>
      <w:r w:rsidRPr="009D7FCD">
        <w:rPr>
          <w:sz w:val="28"/>
          <w:szCs w:val="28"/>
          <w:lang w:val="es-CO"/>
        </w:rPr>
        <w:t>.</w:t>
      </w:r>
    </w:p>
    <w:p w14:paraId="77CD8405" w14:textId="77777777" w:rsidR="009D7FCD" w:rsidRDefault="009D7FCD" w:rsidP="009D7FCD">
      <w:pPr>
        <w:pStyle w:val="Prrafodelista"/>
        <w:rPr>
          <w:sz w:val="28"/>
          <w:szCs w:val="28"/>
          <w:lang w:val="es-CO"/>
        </w:rPr>
      </w:pPr>
    </w:p>
    <w:p w14:paraId="40CCAF80" w14:textId="77777777" w:rsidR="009D7FCD" w:rsidRDefault="002E3D75"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Esta conclusión se explica</w:t>
      </w:r>
      <w:r w:rsidR="00D05762" w:rsidRPr="009D7FCD">
        <w:rPr>
          <w:sz w:val="28"/>
          <w:szCs w:val="28"/>
          <w:lang w:val="es-CO"/>
        </w:rPr>
        <w:t>, además,</w:t>
      </w:r>
      <w:r w:rsidRPr="009D7FCD">
        <w:rPr>
          <w:sz w:val="28"/>
          <w:szCs w:val="28"/>
          <w:lang w:val="es-CO"/>
        </w:rPr>
        <w:t xml:space="preserve"> por la naturaleza de la acción de extinción de dominio. </w:t>
      </w:r>
      <w:r w:rsidR="00717477" w:rsidRPr="009D7FCD">
        <w:rPr>
          <w:sz w:val="28"/>
          <w:szCs w:val="28"/>
          <w:lang w:val="es-CO"/>
        </w:rPr>
        <w:t xml:space="preserve">Esta Corporación ha reiterado </w:t>
      </w:r>
      <w:r w:rsidRPr="009D7FCD">
        <w:rPr>
          <w:sz w:val="28"/>
          <w:szCs w:val="28"/>
          <w:lang w:val="es-CO"/>
        </w:rPr>
        <w:t>que se trata de una acción constitucional, pública, autónoma, de carácter real y contenido patrimonial, independiente tanto de la acción penal como del derecho civil</w:t>
      </w:r>
      <w:r w:rsidR="00EF770B">
        <w:rPr>
          <w:rStyle w:val="Refdenotaalpie"/>
          <w:sz w:val="28"/>
          <w:szCs w:val="28"/>
          <w:lang w:val="es-CO"/>
        </w:rPr>
        <w:footnoteReference w:id="9"/>
      </w:r>
      <w:r w:rsidRPr="009D7FCD">
        <w:rPr>
          <w:sz w:val="28"/>
          <w:szCs w:val="28"/>
          <w:lang w:val="es-CO"/>
        </w:rPr>
        <w:t>.</w:t>
      </w:r>
      <w:r w:rsidR="001376EC" w:rsidRPr="009D7FCD">
        <w:rPr>
          <w:sz w:val="28"/>
          <w:szCs w:val="28"/>
          <w:lang w:val="es-CO"/>
        </w:rPr>
        <w:t xml:space="preserve"> </w:t>
      </w:r>
      <w:r w:rsidR="001376EC" w:rsidRPr="009D7FCD">
        <w:rPr>
          <w:sz w:val="28"/>
          <w:szCs w:val="28"/>
          <w:lang w:val="es-ES_tradnl"/>
        </w:rPr>
        <w:t>Por ello, no constituye una pena ni depende de un juicio de culpabilidad personal, pues recae sobre bienes y se orienta a proteger intereses superiores relacionados con el régimen constitucional de la propiedad.</w:t>
      </w:r>
    </w:p>
    <w:p w14:paraId="0775A682" w14:textId="77777777" w:rsidR="009D7FCD" w:rsidRDefault="009D7FCD" w:rsidP="009D7FCD">
      <w:pPr>
        <w:pStyle w:val="Prrafodelista"/>
        <w:rPr>
          <w:sz w:val="28"/>
          <w:szCs w:val="28"/>
        </w:rPr>
      </w:pPr>
    </w:p>
    <w:p w14:paraId="3508D141" w14:textId="77777777" w:rsidR="009D7FCD" w:rsidRPr="009D7FCD" w:rsidRDefault="00177EE0"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ES_tradnl"/>
        </w:rPr>
        <w:lastRenderedPageBreak/>
        <w:t xml:space="preserve">En </w:t>
      </w:r>
      <w:r w:rsidR="00FF4E22" w:rsidRPr="009D7FCD">
        <w:rPr>
          <w:sz w:val="28"/>
          <w:szCs w:val="28"/>
          <w:lang w:val="es-ES_tradnl"/>
        </w:rPr>
        <w:t>consecuencia</w:t>
      </w:r>
      <w:r w:rsidRPr="009D7FCD">
        <w:rPr>
          <w:sz w:val="28"/>
          <w:szCs w:val="28"/>
          <w:lang w:val="es-ES_tradnl"/>
        </w:rPr>
        <w:t>, el principio de favorabilidad, propio del derecho penal, no se extiende a este tipo de actuaciones. De ahí que las normas de la Ley 1708 de 2014 que introdujeron la acción extraordinaria de revisión en materia de extinción de dominio se rijan por el principio de irretroactividad y solo resulten aplicables hacia el futuro, respecto de procesos tramitados bajo los presupuestos de ese estatuto.</w:t>
      </w:r>
    </w:p>
    <w:p w14:paraId="2E508474" w14:textId="77777777" w:rsidR="009D7FCD" w:rsidRDefault="009D7FCD" w:rsidP="009D7FCD">
      <w:pPr>
        <w:pStyle w:val="Prrafodelista"/>
        <w:rPr>
          <w:sz w:val="28"/>
          <w:szCs w:val="28"/>
          <w:lang w:val="es-CO"/>
        </w:rPr>
      </w:pPr>
    </w:p>
    <w:p w14:paraId="6614B6C1" w14:textId="77777777" w:rsidR="009D7FCD" w:rsidRDefault="00553CDA"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 xml:space="preserve">Ahora bien, el impugnante invocó la sentencia STP14200-2022 para sostener que la acción de revisión era procedente. Sin embargo, esa providencia no tiene el alcance que pretende atribuirle. En aquella oportunidad, la Sala de Casación Penal resolvió una acción de tutela promovida por BECHARA DONADO y negó el amparo, entre otras razones, por incumplimiento de los requisitos de inmediatez y </w:t>
      </w:r>
      <w:r w:rsidR="009632AB" w:rsidRPr="009D7FCD">
        <w:rPr>
          <w:sz w:val="28"/>
          <w:szCs w:val="28"/>
          <w:lang w:val="es-CO"/>
        </w:rPr>
        <w:t>relevancia constitucional</w:t>
      </w:r>
      <w:r w:rsidRPr="009D7FCD">
        <w:rPr>
          <w:sz w:val="28"/>
          <w:szCs w:val="28"/>
          <w:lang w:val="es-CO"/>
        </w:rPr>
        <w:t>. Si bien allí se indicó que su pretensión podía plantearse mediante la acción extraordinaria de revisión, esa afirmación no equivalió a admitir la demanda ni a inaplicar el régimen de transición de la Ley 1708 de 2014.</w:t>
      </w:r>
    </w:p>
    <w:p w14:paraId="43B3F4F6" w14:textId="77777777" w:rsidR="009D7FCD" w:rsidRDefault="009D7FCD" w:rsidP="009D7FCD">
      <w:pPr>
        <w:pStyle w:val="Prrafodelista"/>
        <w:rPr>
          <w:sz w:val="28"/>
          <w:szCs w:val="28"/>
          <w:lang w:val="es-CO"/>
        </w:rPr>
      </w:pPr>
    </w:p>
    <w:p w14:paraId="2B4871E1" w14:textId="77777777" w:rsidR="009D7FCD" w:rsidRDefault="00553CDA"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Además, aunque el accionante ha aludido a su minoría de edad y al desconocimiento del proceso para justificar su inactividad</w:t>
      </w:r>
      <w:r w:rsidR="002D241B" w:rsidRPr="009D7FCD">
        <w:rPr>
          <w:sz w:val="28"/>
          <w:szCs w:val="28"/>
          <w:lang w:val="es-CO"/>
        </w:rPr>
        <w:t xml:space="preserve"> en el proceso de extinción de dominio</w:t>
      </w:r>
      <w:r w:rsidRPr="009D7FCD">
        <w:rPr>
          <w:sz w:val="28"/>
          <w:szCs w:val="28"/>
          <w:lang w:val="es-CO"/>
        </w:rPr>
        <w:t xml:space="preserve">, la Sala de Casación Civil, Agraria y Rural, al confirmar la improcedencia de la acción de tutela mediante STC15502-2024, descartó esa explicación. Para ello señaló que: </w:t>
      </w:r>
      <w:r w:rsidRPr="009D7FCD">
        <w:rPr>
          <w:i/>
          <w:iCs/>
          <w:sz w:val="28"/>
          <w:szCs w:val="28"/>
          <w:lang w:val="es-CO"/>
        </w:rPr>
        <w:t>(i)</w:t>
      </w:r>
      <w:r w:rsidRPr="009D7FCD">
        <w:rPr>
          <w:sz w:val="28"/>
          <w:szCs w:val="28"/>
          <w:lang w:val="es-CO"/>
        </w:rPr>
        <w:t xml:space="preserve"> la cédula de ciudadanía del gestor daba cuenta de su fecha de nacimiento y, por tanto, de su edad para el momento relevante; </w:t>
      </w:r>
      <w:r w:rsidRPr="009D7FCD">
        <w:rPr>
          <w:i/>
          <w:iCs/>
          <w:sz w:val="28"/>
          <w:szCs w:val="28"/>
          <w:lang w:val="es-CO"/>
        </w:rPr>
        <w:t>(</w:t>
      </w:r>
      <w:proofErr w:type="spellStart"/>
      <w:r w:rsidRPr="009D7FCD">
        <w:rPr>
          <w:i/>
          <w:iCs/>
          <w:sz w:val="28"/>
          <w:szCs w:val="28"/>
          <w:lang w:val="es-CO"/>
        </w:rPr>
        <w:t>ii</w:t>
      </w:r>
      <w:proofErr w:type="spellEnd"/>
      <w:r w:rsidRPr="009D7FCD">
        <w:rPr>
          <w:i/>
          <w:iCs/>
          <w:sz w:val="28"/>
          <w:szCs w:val="28"/>
          <w:lang w:val="es-CO"/>
        </w:rPr>
        <w:t>)</w:t>
      </w:r>
      <w:r w:rsidRPr="009D7FCD">
        <w:rPr>
          <w:sz w:val="28"/>
          <w:szCs w:val="28"/>
          <w:lang w:val="es-CO"/>
        </w:rPr>
        <w:t xml:space="preserve"> fue el propio accionante quien manifestó que, con ocasión del fallecimiento de su padre, ocurrido el 22 de febrero de 2016, tuvo conocimiento de los negocios celebrados con sus hermanos paternos; y </w:t>
      </w:r>
      <w:r w:rsidRPr="009D7FCD">
        <w:rPr>
          <w:i/>
          <w:iCs/>
          <w:sz w:val="28"/>
          <w:szCs w:val="28"/>
          <w:lang w:val="es-CO"/>
        </w:rPr>
        <w:t>(</w:t>
      </w:r>
      <w:proofErr w:type="spellStart"/>
      <w:r w:rsidRPr="009D7FCD">
        <w:rPr>
          <w:i/>
          <w:iCs/>
          <w:sz w:val="28"/>
          <w:szCs w:val="28"/>
          <w:lang w:val="es-CO"/>
        </w:rPr>
        <w:t>iii</w:t>
      </w:r>
      <w:proofErr w:type="spellEnd"/>
      <w:r w:rsidRPr="009D7FCD">
        <w:rPr>
          <w:i/>
          <w:iCs/>
          <w:sz w:val="28"/>
          <w:szCs w:val="28"/>
          <w:lang w:val="es-CO"/>
        </w:rPr>
        <w:t>)</w:t>
      </w:r>
      <w:r w:rsidRPr="009D7FCD">
        <w:rPr>
          <w:sz w:val="28"/>
          <w:szCs w:val="28"/>
          <w:lang w:val="es-CO"/>
        </w:rPr>
        <w:t xml:space="preserve"> pese a ello, </w:t>
      </w:r>
      <w:r w:rsidRPr="009D7FCD">
        <w:rPr>
          <w:sz w:val="28"/>
          <w:szCs w:val="28"/>
          <w:lang w:val="es-CO"/>
        </w:rPr>
        <w:lastRenderedPageBreak/>
        <w:t>no interpuso recurso de apelación contra la decisión del Juzgado Primero Civil del Circuito de Cartagena que dejó vigentes las anotaciones relacionadas con las medidas cautelares decretadas en el trámite de extinción de dominio.</w:t>
      </w:r>
    </w:p>
    <w:p w14:paraId="1545888D" w14:textId="77777777" w:rsidR="009D7FCD" w:rsidRDefault="009D7FCD" w:rsidP="009D7FCD">
      <w:pPr>
        <w:pStyle w:val="Prrafodelista"/>
        <w:rPr>
          <w:sz w:val="28"/>
          <w:szCs w:val="28"/>
          <w:lang w:val="es-CO"/>
        </w:rPr>
      </w:pPr>
    </w:p>
    <w:p w14:paraId="5D14A8F4" w14:textId="77777777" w:rsidR="009D7FCD" w:rsidRDefault="00F43B24"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 xml:space="preserve">En </w:t>
      </w:r>
      <w:r w:rsidR="00A65642" w:rsidRPr="009D7FCD">
        <w:rPr>
          <w:sz w:val="28"/>
          <w:szCs w:val="28"/>
          <w:lang w:val="es-CO"/>
        </w:rPr>
        <w:t xml:space="preserve">cuanto a </w:t>
      </w:r>
      <w:r w:rsidRPr="009D7FCD">
        <w:rPr>
          <w:sz w:val="28"/>
          <w:szCs w:val="28"/>
          <w:lang w:val="es-CO"/>
        </w:rPr>
        <w:t xml:space="preserve">la </w:t>
      </w:r>
      <w:r w:rsidR="002455F2" w:rsidRPr="009D7FCD">
        <w:rPr>
          <w:sz w:val="28"/>
          <w:szCs w:val="28"/>
          <w:lang w:val="es-CO"/>
        </w:rPr>
        <w:t xml:space="preserve">decisión citada por el Tribunal, </w:t>
      </w:r>
      <w:r w:rsidR="00B90B9E" w:rsidRPr="009D7FCD">
        <w:rPr>
          <w:sz w:val="28"/>
          <w:szCs w:val="28"/>
          <w:lang w:val="es-CO"/>
        </w:rPr>
        <w:t>en</w:t>
      </w:r>
      <w:r w:rsidR="002455F2" w:rsidRPr="009D7FCD">
        <w:rPr>
          <w:sz w:val="28"/>
          <w:szCs w:val="28"/>
          <w:lang w:val="es-CO"/>
        </w:rPr>
        <w:t xml:space="preserve"> </w:t>
      </w:r>
      <w:r w:rsidR="00553CDA" w:rsidRPr="009D7FCD">
        <w:rPr>
          <w:sz w:val="28"/>
          <w:szCs w:val="28"/>
          <w:lang w:val="es-CO"/>
        </w:rPr>
        <w:t>AP3510-2019, rad. 55558, la Sala reiteró que el régimen de transición de la Ley 1708 de 2014</w:t>
      </w:r>
      <w:r w:rsidR="003C06E6" w:rsidRPr="009D7FCD">
        <w:rPr>
          <w:sz w:val="28"/>
          <w:szCs w:val="28"/>
          <w:lang w:val="es-CO"/>
        </w:rPr>
        <w:t>,</w:t>
      </w:r>
      <w:r w:rsidR="00553CDA" w:rsidRPr="009D7FCD">
        <w:rPr>
          <w:sz w:val="28"/>
          <w:szCs w:val="28"/>
          <w:lang w:val="es-CO"/>
        </w:rPr>
        <w:t xml:space="preserve"> no se limita a las causales de extinción, sino que comprende también el procedimiento y las instituciones procesales del régimen bajo el cual inició la actuación. En ese sentido, explicó que las causales sirven de base al trámite procesal aplicable, ya sea el previsto en la Ley 793 de 2002 o en la Ley 1453 de 2011, lo que implica sujetarse a todas las instituciones sustanciales y procesales de cada normativa.</w:t>
      </w:r>
    </w:p>
    <w:p w14:paraId="7CA27ACB" w14:textId="77777777" w:rsidR="009D7FCD" w:rsidRDefault="009D7FCD" w:rsidP="009D7FCD">
      <w:pPr>
        <w:pStyle w:val="Prrafodelista"/>
        <w:rPr>
          <w:sz w:val="28"/>
          <w:szCs w:val="28"/>
        </w:rPr>
      </w:pPr>
    </w:p>
    <w:p w14:paraId="5333E776" w14:textId="77777777" w:rsidR="009D7FCD" w:rsidRPr="009D7FCD" w:rsidRDefault="00E35B58"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ES_tradnl"/>
        </w:rPr>
        <w:t>En ese orden</w:t>
      </w:r>
      <w:r w:rsidR="00F91E76" w:rsidRPr="009D7FCD">
        <w:rPr>
          <w:sz w:val="28"/>
          <w:szCs w:val="28"/>
          <w:lang w:val="es-ES_tradnl"/>
        </w:rPr>
        <w:t>, no es cierto que en es</w:t>
      </w:r>
      <w:r w:rsidRPr="009D7FCD">
        <w:rPr>
          <w:sz w:val="28"/>
          <w:szCs w:val="28"/>
          <w:lang w:val="es-ES_tradnl"/>
        </w:rPr>
        <w:t>a</w:t>
      </w:r>
      <w:r w:rsidR="00F91E76" w:rsidRPr="009D7FCD">
        <w:rPr>
          <w:sz w:val="28"/>
          <w:szCs w:val="28"/>
          <w:lang w:val="es-ES_tradnl"/>
        </w:rPr>
        <w:t xml:space="preserve"> decisión se haya fijado una regla según la cual el régimen de transición solo apli</w:t>
      </w:r>
      <w:r w:rsidR="003C06E6" w:rsidRPr="009D7FCD">
        <w:rPr>
          <w:sz w:val="28"/>
          <w:szCs w:val="28"/>
          <w:lang w:val="es-ES_tradnl"/>
        </w:rPr>
        <w:t>ca</w:t>
      </w:r>
      <w:r w:rsidR="00F91E76" w:rsidRPr="009D7FCD">
        <w:rPr>
          <w:sz w:val="28"/>
          <w:szCs w:val="28"/>
          <w:lang w:val="es-ES_tradnl"/>
        </w:rPr>
        <w:t xml:space="preserve"> frente a quienes </w:t>
      </w:r>
      <w:r w:rsidR="003C06E6" w:rsidRPr="009D7FCD">
        <w:rPr>
          <w:sz w:val="28"/>
          <w:szCs w:val="28"/>
          <w:lang w:val="es-ES_tradnl"/>
        </w:rPr>
        <w:t>participaron</w:t>
      </w:r>
      <w:r w:rsidRPr="009D7FCD">
        <w:rPr>
          <w:sz w:val="28"/>
          <w:szCs w:val="28"/>
          <w:lang w:val="es-ES_tradnl"/>
        </w:rPr>
        <w:t xml:space="preserve"> dentro </w:t>
      </w:r>
      <w:r w:rsidR="00F91E76" w:rsidRPr="009D7FCD">
        <w:rPr>
          <w:sz w:val="28"/>
          <w:szCs w:val="28"/>
          <w:lang w:val="es-ES_tradnl"/>
        </w:rPr>
        <w:t xml:space="preserve">del proceso de extinción de dominio. Por el contrario, la </w:t>
      </w:r>
      <w:r w:rsidR="00CE5B56" w:rsidRPr="009D7FCD">
        <w:rPr>
          <w:sz w:val="28"/>
          <w:szCs w:val="28"/>
          <w:lang w:val="es-ES_tradnl"/>
        </w:rPr>
        <w:t>Corte</w:t>
      </w:r>
      <w:r w:rsidR="00F91E76" w:rsidRPr="009D7FCD">
        <w:rPr>
          <w:sz w:val="28"/>
          <w:szCs w:val="28"/>
          <w:lang w:val="es-ES_tradnl"/>
        </w:rPr>
        <w:t xml:space="preserve"> reiteró en esa oportunidad la improcedencia de la acción de revisión respecto de trámites iniciados antes de la Ley 1708 de 2014, con independencia de la situación particular del accionante, porque lo determinante es el régimen procesal bajo el cual se profirió la resolución de inicio. Así, si la actuación se adelantó conforme a la Ley 793 de 2002, no resulta viable acudir al mecanismo de revisión previsto en el artículo 73 del Código de Extinción de Dominio</w:t>
      </w:r>
      <w:r w:rsidR="003C06E6" w:rsidRPr="009D7FCD">
        <w:rPr>
          <w:sz w:val="28"/>
          <w:szCs w:val="28"/>
          <w:lang w:val="es-ES_tradnl"/>
        </w:rPr>
        <w:t xml:space="preserve"> (L. 1708/2014);</w:t>
      </w:r>
      <w:r w:rsidR="00F91E76" w:rsidRPr="009D7FCD">
        <w:rPr>
          <w:sz w:val="28"/>
          <w:szCs w:val="28"/>
          <w:lang w:val="es-ES_tradnl"/>
        </w:rPr>
        <w:t xml:space="preserve"> pues</w:t>
      </w:r>
      <w:r w:rsidR="003C06E6" w:rsidRPr="009D7FCD">
        <w:rPr>
          <w:sz w:val="28"/>
          <w:szCs w:val="28"/>
          <w:lang w:val="es-ES_tradnl"/>
        </w:rPr>
        <w:t>,</w:t>
      </w:r>
      <w:r w:rsidR="00F91E76" w:rsidRPr="009D7FCD">
        <w:rPr>
          <w:sz w:val="28"/>
          <w:szCs w:val="28"/>
          <w:lang w:val="es-ES_tradnl"/>
        </w:rPr>
        <w:t xml:space="preserve"> ello implicaría aplicar retroactivamente una institución que no estaba contemplada en la normativa que gobernó el trámite.</w:t>
      </w:r>
    </w:p>
    <w:p w14:paraId="09437DE6" w14:textId="77777777" w:rsidR="009D7FCD" w:rsidRDefault="009D7FCD" w:rsidP="009D7FCD">
      <w:pPr>
        <w:pStyle w:val="Prrafodelista"/>
        <w:rPr>
          <w:sz w:val="28"/>
          <w:szCs w:val="28"/>
          <w:lang w:val="es-CO"/>
        </w:rPr>
      </w:pPr>
    </w:p>
    <w:p w14:paraId="2D5A979E" w14:textId="77777777" w:rsidR="009D7FCD" w:rsidRDefault="00553CDA"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 xml:space="preserve">En el presente asunto, el trámite extintivo inició mediante resolución del 23 de noviembre de 2004, bajo la vigencia de la Ley 793 de 2002. En consecuencia, </w:t>
      </w:r>
      <w:r w:rsidR="003C06E6" w:rsidRPr="009D7FCD">
        <w:rPr>
          <w:sz w:val="28"/>
          <w:szCs w:val="28"/>
          <w:lang w:val="es-CO"/>
        </w:rPr>
        <w:t xml:space="preserve">el proceso se </w:t>
      </w:r>
      <w:r w:rsidR="003C06E6" w:rsidRPr="009D7FCD">
        <w:rPr>
          <w:sz w:val="28"/>
          <w:szCs w:val="28"/>
          <w:lang w:val="es-CO"/>
        </w:rPr>
        <w:lastRenderedPageBreak/>
        <w:t xml:space="preserve">agotó </w:t>
      </w:r>
      <w:r w:rsidRPr="009D7FCD">
        <w:rPr>
          <w:sz w:val="28"/>
          <w:szCs w:val="28"/>
          <w:lang w:val="es-CO"/>
        </w:rPr>
        <w:t>íntegramente conforme a esa normativa, la cual no consagraba la acción extraordinaria de revisión contra sentencias ejecutoriadas de extinción de dominio.</w:t>
      </w:r>
    </w:p>
    <w:p w14:paraId="07775D72" w14:textId="77777777" w:rsidR="009D7FCD" w:rsidRDefault="009D7FCD" w:rsidP="009D7FCD">
      <w:pPr>
        <w:pStyle w:val="Prrafodelista"/>
        <w:rPr>
          <w:sz w:val="28"/>
          <w:szCs w:val="28"/>
          <w:lang w:val="es-CO"/>
        </w:rPr>
      </w:pPr>
    </w:p>
    <w:p w14:paraId="185802D8" w14:textId="77777777" w:rsidR="009D7FCD" w:rsidRDefault="00553CDA"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Así, aunque la sentencia de segunda instancia fue proferida el 16 de diciembre de 2014 y corregida el 16 de febrero de 2016, esto es, después de la entrada en vigencia de la Ley 1708 de 2014, lo determinante es que el proceso se inició y tramitó bajo la Ley 793 de 2002. Por ello, no es procedente aplicar retroactivamente el artículo 73 del Código de Extinción de Dominio.</w:t>
      </w:r>
    </w:p>
    <w:p w14:paraId="0371CBF3" w14:textId="77777777" w:rsidR="009D7FCD" w:rsidRDefault="009D7FCD" w:rsidP="009D7FCD">
      <w:pPr>
        <w:pStyle w:val="Prrafodelista"/>
        <w:rPr>
          <w:sz w:val="28"/>
          <w:szCs w:val="28"/>
          <w:lang w:val="es-CO"/>
        </w:rPr>
      </w:pPr>
    </w:p>
    <w:p w14:paraId="4BEF20D7" w14:textId="77777777" w:rsidR="009D7FCD" w:rsidRDefault="00553CDA"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 xml:space="preserve">La alegada falta de vinculación del accionante y la sentencia civil de simulación del 22 de agosto de 2017 no modifican ese presupuesto de procedencia. </w:t>
      </w:r>
    </w:p>
    <w:p w14:paraId="2FCBB9E3" w14:textId="77777777" w:rsidR="009D7FCD" w:rsidRDefault="009D7FCD" w:rsidP="009D7FCD">
      <w:pPr>
        <w:pStyle w:val="Prrafodelista"/>
        <w:rPr>
          <w:sz w:val="28"/>
          <w:szCs w:val="28"/>
          <w:lang w:val="es-CO"/>
        </w:rPr>
      </w:pPr>
    </w:p>
    <w:p w14:paraId="53CBAF96" w14:textId="6BE85AC5" w:rsidR="00553CDA" w:rsidRPr="009D7FCD" w:rsidRDefault="00553CDA" w:rsidP="009D7FCD">
      <w:pPr>
        <w:pStyle w:val="Style1"/>
        <w:numPr>
          <w:ilvl w:val="0"/>
          <w:numId w:val="27"/>
        </w:numPr>
        <w:spacing w:line="360" w:lineRule="auto"/>
        <w:ind w:left="0" w:firstLine="709"/>
        <w:contextualSpacing/>
        <w:jc w:val="both"/>
        <w:rPr>
          <w:sz w:val="28"/>
          <w:szCs w:val="28"/>
          <w:lang w:val="es-CO"/>
        </w:rPr>
      </w:pPr>
      <w:r w:rsidRPr="009D7FCD">
        <w:rPr>
          <w:sz w:val="28"/>
          <w:szCs w:val="28"/>
          <w:lang w:val="es-CO"/>
        </w:rPr>
        <w:t>En consecuencia, se confirmará el auto apelado, mediante el cual se declaró improcedente la demanda de revisión promovida por EDMON JOSÉ BECHARA DONADO.</w:t>
      </w:r>
    </w:p>
    <w:p w14:paraId="0CF7EFC0" w14:textId="77777777" w:rsidR="001E0045" w:rsidRPr="001E0045" w:rsidRDefault="001E0045" w:rsidP="006C32A9">
      <w:pPr>
        <w:spacing w:line="360" w:lineRule="auto"/>
        <w:jc w:val="both"/>
        <w:rPr>
          <w:rFonts w:ascii="Bookman Old Style" w:hAnsi="Bookman Old Style"/>
          <w:sz w:val="28"/>
          <w:szCs w:val="28"/>
          <w:shd w:val="clear" w:color="auto" w:fill="FFFFFF"/>
          <w:lang w:val="es-CO"/>
        </w:rPr>
      </w:pPr>
    </w:p>
    <w:p w14:paraId="3586A901" w14:textId="77777777" w:rsidR="00CF03E0" w:rsidRPr="001E0045" w:rsidRDefault="00CF03E0" w:rsidP="006C32A9">
      <w:pPr>
        <w:spacing w:line="360" w:lineRule="auto"/>
        <w:ind w:firstLine="709"/>
        <w:jc w:val="both"/>
        <w:rPr>
          <w:rFonts w:ascii="Bookman Old Style" w:hAnsi="Bookman Old Style"/>
          <w:spacing w:val="6"/>
          <w:sz w:val="28"/>
          <w:szCs w:val="28"/>
          <w:lang w:val="es-CO"/>
        </w:rPr>
      </w:pPr>
      <w:r w:rsidRPr="001E0045">
        <w:rPr>
          <w:rFonts w:ascii="Bookman Old Style" w:hAnsi="Bookman Old Style"/>
          <w:spacing w:val="6"/>
          <w:sz w:val="28"/>
          <w:szCs w:val="28"/>
          <w:lang w:val="es-CO"/>
        </w:rPr>
        <w:t>En mérito de lo expuesto, la Corte Suprema de Justicia, Sala de Casación Penal,</w:t>
      </w:r>
    </w:p>
    <w:p w14:paraId="0A0E608F" w14:textId="77777777" w:rsidR="00CF03E0" w:rsidRPr="004E6092" w:rsidRDefault="00CF03E0" w:rsidP="006C32A9">
      <w:pPr>
        <w:spacing w:line="360" w:lineRule="auto"/>
        <w:ind w:firstLine="709"/>
        <w:rPr>
          <w:rFonts w:ascii="Bookman Old Style" w:hAnsi="Bookman Old Style"/>
          <w:b/>
          <w:spacing w:val="6"/>
          <w:sz w:val="28"/>
          <w:szCs w:val="28"/>
          <w:lang w:val="es-CO"/>
        </w:rPr>
      </w:pPr>
    </w:p>
    <w:p w14:paraId="649B1594" w14:textId="33A67BB2" w:rsidR="00CF03E0" w:rsidRPr="004E6092" w:rsidRDefault="00F01AF6" w:rsidP="006C32A9">
      <w:pPr>
        <w:pStyle w:val="Prrafodelista"/>
        <w:keepNext/>
        <w:suppressAutoHyphens/>
        <w:overflowPunct/>
        <w:autoSpaceDE/>
        <w:autoSpaceDN/>
        <w:adjustRightInd/>
        <w:spacing w:line="360" w:lineRule="auto"/>
        <w:ind w:left="709"/>
        <w:contextualSpacing w:val="0"/>
        <w:jc w:val="center"/>
        <w:textAlignment w:val="auto"/>
        <w:outlineLvl w:val="0"/>
        <w:rPr>
          <w:rFonts w:ascii="Bookman Old Style" w:hAnsi="Bookman Old Style"/>
          <w:spacing w:val="6"/>
          <w:sz w:val="28"/>
          <w:szCs w:val="28"/>
          <w:lang w:val="es-CO"/>
        </w:rPr>
      </w:pPr>
      <w:r>
        <w:rPr>
          <w:rFonts w:ascii="Bookman Old Style" w:hAnsi="Bookman Old Style"/>
          <w:b/>
          <w:spacing w:val="6"/>
          <w:sz w:val="28"/>
          <w:szCs w:val="28"/>
          <w:lang w:val="es-CO"/>
        </w:rPr>
        <w:t xml:space="preserve">IV. </w:t>
      </w:r>
      <w:r w:rsidR="00CF03E0" w:rsidRPr="004E6092">
        <w:rPr>
          <w:rFonts w:ascii="Bookman Old Style" w:hAnsi="Bookman Old Style"/>
          <w:b/>
          <w:spacing w:val="6"/>
          <w:sz w:val="28"/>
          <w:szCs w:val="28"/>
          <w:lang w:val="es-CO"/>
        </w:rPr>
        <w:t>RESUELVE</w:t>
      </w:r>
    </w:p>
    <w:p w14:paraId="2C97C17B" w14:textId="77777777" w:rsidR="00CF03E0" w:rsidRPr="004E6092" w:rsidRDefault="00CF03E0" w:rsidP="006C32A9">
      <w:pPr>
        <w:spacing w:line="360" w:lineRule="auto"/>
        <w:ind w:firstLine="709"/>
        <w:jc w:val="both"/>
        <w:rPr>
          <w:rFonts w:ascii="Bookman Old Style" w:hAnsi="Bookman Old Style"/>
          <w:b/>
          <w:spacing w:val="6"/>
          <w:sz w:val="28"/>
          <w:szCs w:val="28"/>
          <w:lang w:val="es-CO"/>
        </w:rPr>
      </w:pPr>
    </w:p>
    <w:p w14:paraId="055E05FE" w14:textId="77777777" w:rsidR="00F01AF6" w:rsidRDefault="0087735E" w:rsidP="006C32A9">
      <w:pPr>
        <w:spacing w:line="360" w:lineRule="auto"/>
        <w:ind w:firstLine="708"/>
        <w:contextualSpacing/>
        <w:jc w:val="both"/>
        <w:rPr>
          <w:rFonts w:ascii="Bookman Old Style" w:hAnsi="Bookman Old Style" w:cs="Arial"/>
          <w:sz w:val="28"/>
          <w:szCs w:val="30"/>
        </w:rPr>
      </w:pPr>
      <w:r w:rsidRPr="00DC4A45">
        <w:rPr>
          <w:rFonts w:ascii="Bookman Old Style" w:hAnsi="Bookman Old Style" w:cs="Arial"/>
          <w:b/>
          <w:sz w:val="28"/>
          <w:szCs w:val="28"/>
        </w:rPr>
        <w:t>Confirmar</w:t>
      </w:r>
      <w:r w:rsidRPr="00DC4A45">
        <w:rPr>
          <w:rFonts w:ascii="Bookman Old Style" w:hAnsi="Bookman Old Style" w:cs="Arial"/>
          <w:sz w:val="28"/>
          <w:szCs w:val="28"/>
        </w:rPr>
        <w:t xml:space="preserve"> el auto proferido el </w:t>
      </w:r>
      <w:r w:rsidR="007B4894" w:rsidRPr="43420347">
        <w:rPr>
          <w:rFonts w:ascii="Bookman Old Style" w:hAnsi="Bookman Old Style" w:cs="Arial"/>
          <w:sz w:val="28"/>
          <w:szCs w:val="28"/>
          <w:lang w:val="es-ES"/>
        </w:rPr>
        <w:t xml:space="preserve">13 de noviembre de 2025 por la Sala Especializada de Extinción de Dominio del Tribunal Superior del Distrito Judicial de Bogotá, mediante el cual declaró improcedente la demanda de revisión formulada </w:t>
      </w:r>
      <w:r w:rsidR="00F01AF6">
        <w:rPr>
          <w:rFonts w:ascii="Bookman Old Style" w:hAnsi="Bookman Old Style" w:cs="Arial"/>
          <w:sz w:val="28"/>
          <w:szCs w:val="28"/>
          <w:lang w:val="es-ES"/>
        </w:rPr>
        <w:t xml:space="preserve">por EDMON JOSÉ BECHARA DONADO </w:t>
      </w:r>
      <w:r w:rsidR="007B4894" w:rsidRPr="43420347">
        <w:rPr>
          <w:rFonts w:ascii="Bookman Old Style" w:hAnsi="Bookman Old Style" w:cs="Arial"/>
          <w:sz w:val="28"/>
          <w:szCs w:val="28"/>
          <w:lang w:val="es-ES"/>
        </w:rPr>
        <w:t xml:space="preserve">contra la sentencia adoptada el 16 de diciembre de 2014 </w:t>
      </w:r>
      <w:r w:rsidR="007B4894" w:rsidRPr="43420347">
        <w:rPr>
          <w:rFonts w:ascii="Bookman Old Style" w:hAnsi="Bookman Old Style" w:cs="Arial"/>
          <w:szCs w:val="26"/>
          <w:lang w:val="es-ES"/>
        </w:rPr>
        <w:t>(corregida el 16 de febrero de 2016)</w:t>
      </w:r>
      <w:r w:rsidR="00F01AF6">
        <w:rPr>
          <w:rFonts w:ascii="Bookman Old Style" w:hAnsi="Bookman Old Style" w:cs="Arial"/>
          <w:szCs w:val="26"/>
          <w:lang w:val="es-ES"/>
        </w:rPr>
        <w:t>.</w:t>
      </w:r>
    </w:p>
    <w:p w14:paraId="5E51FAFA" w14:textId="77777777" w:rsidR="00F01AF6" w:rsidRDefault="00F01AF6" w:rsidP="006C32A9">
      <w:pPr>
        <w:spacing w:line="360" w:lineRule="auto"/>
        <w:ind w:firstLine="708"/>
        <w:contextualSpacing/>
        <w:jc w:val="both"/>
        <w:rPr>
          <w:rFonts w:ascii="Bookman Old Style" w:hAnsi="Bookman Old Style" w:cs="Arial"/>
          <w:sz w:val="28"/>
          <w:szCs w:val="30"/>
        </w:rPr>
      </w:pPr>
    </w:p>
    <w:p w14:paraId="43FF3A35" w14:textId="03188279" w:rsidR="0087735E" w:rsidRPr="00DC4A45" w:rsidRDefault="0087735E" w:rsidP="006C32A9">
      <w:pPr>
        <w:spacing w:line="360" w:lineRule="auto"/>
        <w:ind w:firstLine="708"/>
        <w:contextualSpacing/>
        <w:jc w:val="both"/>
        <w:rPr>
          <w:rFonts w:ascii="Bookman Old Style" w:hAnsi="Bookman Old Style" w:cs="Arial"/>
          <w:sz w:val="28"/>
          <w:szCs w:val="30"/>
        </w:rPr>
      </w:pPr>
      <w:r w:rsidRPr="00DC4A45">
        <w:rPr>
          <w:rFonts w:ascii="Bookman Old Style" w:hAnsi="Bookman Old Style" w:cs="Arial"/>
          <w:sz w:val="28"/>
          <w:szCs w:val="30"/>
        </w:rPr>
        <w:lastRenderedPageBreak/>
        <w:t>Contra la presente decisión no procede recurso alguno.</w:t>
      </w:r>
    </w:p>
    <w:p w14:paraId="3168E975" w14:textId="77777777" w:rsidR="0087735E" w:rsidRPr="00DC4A45" w:rsidRDefault="0087735E" w:rsidP="006C32A9">
      <w:pPr>
        <w:spacing w:line="360" w:lineRule="auto"/>
        <w:ind w:firstLine="708"/>
        <w:contextualSpacing/>
        <w:jc w:val="both"/>
        <w:rPr>
          <w:rFonts w:ascii="Bookman Old Style" w:hAnsi="Bookman Old Style" w:cs="Arial"/>
          <w:sz w:val="28"/>
          <w:szCs w:val="30"/>
        </w:rPr>
      </w:pPr>
    </w:p>
    <w:p w14:paraId="20D0FE0E" w14:textId="77777777" w:rsidR="0087735E" w:rsidRPr="00DC4A45" w:rsidRDefault="0087735E" w:rsidP="006C32A9">
      <w:pPr>
        <w:spacing w:line="360" w:lineRule="auto"/>
        <w:ind w:firstLine="708"/>
        <w:contextualSpacing/>
        <w:jc w:val="both"/>
        <w:rPr>
          <w:rFonts w:ascii="Bookman Old Style" w:hAnsi="Bookman Old Style" w:cs="Arial"/>
          <w:sz w:val="28"/>
          <w:szCs w:val="30"/>
        </w:rPr>
      </w:pPr>
      <w:r w:rsidRPr="00DC4A45">
        <w:rPr>
          <w:rFonts w:ascii="Bookman Old Style" w:hAnsi="Bookman Old Style" w:cs="Arial"/>
          <w:sz w:val="28"/>
          <w:szCs w:val="30"/>
        </w:rPr>
        <w:t>Comuníquese, cúmplase y devuélvase al Tribunal de origen.</w:t>
      </w:r>
    </w:p>
    <w:p w14:paraId="0E72A0C0" w14:textId="7B1A7687" w:rsidR="00CF03E0" w:rsidRDefault="00CF03E0" w:rsidP="006C32A9">
      <w:pPr>
        <w:spacing w:line="360" w:lineRule="auto"/>
        <w:ind w:firstLine="709"/>
        <w:jc w:val="center"/>
        <w:rPr>
          <w:rFonts w:ascii="Bookman Old Style" w:hAnsi="Bookman Old Style" w:cs="Arial"/>
          <w:b/>
          <w:spacing w:val="6"/>
          <w:kern w:val="2"/>
          <w:sz w:val="28"/>
          <w:szCs w:val="28"/>
          <w:lang w:val="es-CO"/>
        </w:rPr>
      </w:pPr>
    </w:p>
    <w:p w14:paraId="1E2BAA84" w14:textId="77777777" w:rsidR="008A0970" w:rsidRDefault="008A0970" w:rsidP="008A0970">
      <w:pPr>
        <w:ind w:firstLine="709"/>
        <w:jc w:val="center"/>
        <w:rPr>
          <w:rFonts w:ascii="Bookman Old Style" w:eastAsia="Bookman Old Style" w:hAnsi="Bookman Old Style" w:cs="Bookman Old Style"/>
          <w:b/>
          <w:spacing w:val="6"/>
          <w:sz w:val="28"/>
          <w:szCs w:val="28"/>
          <w:lang w:val="es-CO" w:eastAsia="en-US"/>
        </w:rPr>
      </w:pPr>
      <w:r>
        <w:rPr>
          <w:rFonts w:ascii="Bookman Old Style" w:eastAsia="Bookman Old Style" w:hAnsi="Bookman Old Style" w:cs="Bookman Old Style"/>
          <w:b/>
          <w:spacing w:val="6"/>
          <w:sz w:val="28"/>
          <w:szCs w:val="28"/>
        </w:rPr>
        <w:t>CARLOS ROBERTO SOLÓRZANO GARAVITO</w:t>
      </w:r>
    </w:p>
    <w:p w14:paraId="0C395E2D" w14:textId="77777777" w:rsidR="008A0970" w:rsidRDefault="008A0970" w:rsidP="008A0970">
      <w:pPr>
        <w:spacing w:line="360" w:lineRule="auto"/>
        <w:jc w:val="center"/>
        <w:rPr>
          <w:rFonts w:ascii="Bookman Old Style" w:eastAsia="Bookman Old Style" w:hAnsi="Bookman Old Style" w:cs="Bookman Old Style"/>
          <w:b/>
          <w:bCs/>
          <w:spacing w:val="0"/>
          <w:sz w:val="28"/>
          <w:szCs w:val="28"/>
          <w:lang w:val="es-ES"/>
        </w:rPr>
      </w:pPr>
      <w:r>
        <w:rPr>
          <w:rFonts w:ascii="Bookman Old Style" w:eastAsia="Bookman Old Style" w:hAnsi="Bookman Old Style" w:cs="Bookman Old Style"/>
          <w:b/>
          <w:bCs/>
          <w:sz w:val="28"/>
          <w:szCs w:val="28"/>
        </w:rPr>
        <w:t>Presidente</w:t>
      </w:r>
    </w:p>
    <w:p w14:paraId="0FDE9E1F" w14:textId="77777777" w:rsidR="008A0970" w:rsidRDefault="008A0970" w:rsidP="008A0970">
      <w:pPr>
        <w:spacing w:line="360" w:lineRule="auto"/>
        <w:rPr>
          <w:rFonts w:ascii="Bookman Old Style" w:eastAsia="Bookman Old Style" w:hAnsi="Bookman Old Style" w:cs="Bookman Old Style"/>
          <w:bCs/>
          <w:sz w:val="28"/>
          <w:szCs w:val="28"/>
        </w:rPr>
      </w:pPr>
    </w:p>
    <w:p w14:paraId="6A64C075" w14:textId="77777777" w:rsidR="008A0970" w:rsidRDefault="008A0970" w:rsidP="008A097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MYRIAM ÁVILA ROLDÁN</w:t>
      </w:r>
    </w:p>
    <w:p w14:paraId="3638475C" w14:textId="77777777" w:rsidR="008A0970" w:rsidRDefault="008A0970" w:rsidP="008A0970">
      <w:pPr>
        <w:rPr>
          <w:rFonts w:ascii="Bookman Old Style" w:eastAsiaTheme="minorEastAsia" w:hAnsi="Bookman Old Style" w:cs="Arial"/>
          <w:spacing w:val="-6"/>
          <w:szCs w:val="26"/>
        </w:rPr>
      </w:pPr>
    </w:p>
    <w:p w14:paraId="28165BC1" w14:textId="77777777" w:rsidR="008A0970" w:rsidRDefault="008A0970" w:rsidP="008A097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GERARDO BARBOSA CASTILLO</w:t>
      </w:r>
    </w:p>
    <w:p w14:paraId="7CCAD1F4" w14:textId="77777777" w:rsidR="008A0970" w:rsidRDefault="008A0970" w:rsidP="008A0970">
      <w:pPr>
        <w:rPr>
          <w:rFonts w:ascii="Bookman Old Style" w:eastAsia="Bookman Old Style" w:hAnsi="Bookman Old Style" w:cs="Bookman Old Style"/>
          <w:b/>
          <w:spacing w:val="6"/>
          <w:sz w:val="28"/>
          <w:szCs w:val="28"/>
          <w:lang w:val="es-CO" w:eastAsia="en-US"/>
        </w:rPr>
      </w:pPr>
    </w:p>
    <w:p w14:paraId="0BE56B7D" w14:textId="77777777" w:rsidR="008A0970" w:rsidRDefault="008A0970" w:rsidP="008A0970">
      <w:pPr>
        <w:ind w:firstLine="709"/>
        <w:jc w:val="center"/>
        <w:rPr>
          <w:rFonts w:ascii="Bookman Old Style" w:eastAsia="Bookman Old Style" w:hAnsi="Bookman Old Style" w:cs="Bookman Old Style"/>
          <w:b/>
          <w:spacing w:val="6"/>
          <w:sz w:val="28"/>
          <w:szCs w:val="28"/>
          <w:lang w:val="es-ES" w:eastAsia="es-CO"/>
        </w:rPr>
      </w:pPr>
    </w:p>
    <w:p w14:paraId="7B5958F9" w14:textId="77777777" w:rsidR="008A0970" w:rsidRDefault="008A0970" w:rsidP="008A0970">
      <w:pPr>
        <w:ind w:firstLine="709"/>
        <w:jc w:val="center"/>
        <w:rPr>
          <w:rFonts w:ascii="Bookman Old Style" w:eastAsia="Bookman Old Style" w:hAnsi="Bookman Old Style" w:cs="Bookman Old Style"/>
          <w:b/>
          <w:spacing w:val="6"/>
          <w:sz w:val="28"/>
          <w:szCs w:val="28"/>
          <w:lang w:val="es-CO" w:eastAsia="en-US"/>
        </w:rPr>
      </w:pPr>
      <w:r>
        <w:rPr>
          <w:rFonts w:ascii="Bookman Old Style" w:eastAsia="Bookman Old Style" w:hAnsi="Bookman Old Style" w:cs="Bookman Old Style"/>
          <w:b/>
          <w:spacing w:val="6"/>
          <w:sz w:val="28"/>
          <w:szCs w:val="28"/>
        </w:rPr>
        <w:t>FERNANDO LEÓN BOLAÑOS PALACIOS</w:t>
      </w:r>
    </w:p>
    <w:p w14:paraId="2DB73BFF" w14:textId="77777777" w:rsidR="008A0970" w:rsidRDefault="008A0970" w:rsidP="008A0970">
      <w:pPr>
        <w:ind w:firstLine="709"/>
        <w:jc w:val="center"/>
        <w:rPr>
          <w:rFonts w:ascii="Bookman Old Style" w:eastAsia="Bookman Old Style" w:hAnsi="Bookman Old Style" w:cs="Bookman Old Style"/>
          <w:b/>
          <w:spacing w:val="6"/>
          <w:sz w:val="28"/>
          <w:szCs w:val="28"/>
          <w:lang w:val="es-ES" w:eastAsia="es-MX"/>
        </w:rPr>
      </w:pPr>
    </w:p>
    <w:p w14:paraId="69858312" w14:textId="77777777" w:rsidR="008A0970" w:rsidRDefault="008A0970" w:rsidP="008A0970">
      <w:pPr>
        <w:ind w:firstLine="709"/>
        <w:jc w:val="center"/>
        <w:rPr>
          <w:rFonts w:ascii="Bookman Old Style" w:eastAsia="Bookman Old Style" w:hAnsi="Bookman Old Style" w:cs="Bookman Old Style"/>
          <w:b/>
          <w:spacing w:val="6"/>
          <w:sz w:val="28"/>
          <w:szCs w:val="28"/>
          <w:lang w:val="es-CO" w:eastAsia="en-US"/>
        </w:rPr>
      </w:pPr>
    </w:p>
    <w:p w14:paraId="420236C9" w14:textId="77777777" w:rsidR="008A0970" w:rsidRDefault="008A0970" w:rsidP="008A0970">
      <w:pPr>
        <w:ind w:firstLine="709"/>
        <w:jc w:val="center"/>
        <w:rPr>
          <w:rFonts w:ascii="Bookman Old Style" w:eastAsia="Bookman Old Style" w:hAnsi="Bookman Old Style" w:cs="Bookman Old Style"/>
          <w:b/>
          <w:spacing w:val="6"/>
          <w:sz w:val="28"/>
          <w:szCs w:val="28"/>
          <w:lang w:val="es-ES"/>
        </w:rPr>
      </w:pPr>
      <w:r>
        <w:rPr>
          <w:rFonts w:ascii="Bookman Old Style" w:eastAsia="Bookman Old Style" w:hAnsi="Bookman Old Style" w:cs="Bookman Old Style"/>
          <w:b/>
          <w:spacing w:val="6"/>
          <w:sz w:val="28"/>
          <w:szCs w:val="28"/>
        </w:rPr>
        <w:t>GERSON CHAVERRA CASTRO</w:t>
      </w:r>
    </w:p>
    <w:p w14:paraId="69FC906A" w14:textId="77777777" w:rsidR="008A0970" w:rsidRDefault="008A0970" w:rsidP="008A0970">
      <w:pPr>
        <w:ind w:firstLine="709"/>
        <w:jc w:val="center"/>
        <w:rPr>
          <w:rFonts w:ascii="Bookman Old Style" w:eastAsia="Bookman Old Style" w:hAnsi="Bookman Old Style" w:cs="Bookman Old Style"/>
          <w:b/>
          <w:spacing w:val="6"/>
          <w:sz w:val="28"/>
          <w:szCs w:val="28"/>
          <w:lang w:val="es-CO"/>
        </w:rPr>
      </w:pPr>
    </w:p>
    <w:p w14:paraId="193D12B8" w14:textId="77777777" w:rsidR="008A0970" w:rsidRDefault="008A0970" w:rsidP="008A0970">
      <w:pPr>
        <w:ind w:firstLine="709"/>
        <w:jc w:val="center"/>
        <w:rPr>
          <w:rFonts w:ascii="Bookman Old Style" w:eastAsia="Bookman Old Style" w:hAnsi="Bookman Old Style" w:cs="Bookman Old Style"/>
          <w:b/>
          <w:spacing w:val="6"/>
          <w:sz w:val="28"/>
          <w:szCs w:val="28"/>
          <w:lang w:val="es-ES"/>
        </w:rPr>
      </w:pPr>
    </w:p>
    <w:p w14:paraId="5703D903" w14:textId="77777777" w:rsidR="008A0970" w:rsidRDefault="008A0970" w:rsidP="008A0970">
      <w:pPr>
        <w:ind w:firstLine="709"/>
        <w:jc w:val="center"/>
        <w:rPr>
          <w:rFonts w:ascii="Bookman Old Style" w:eastAsia="Bookman Old Style" w:hAnsi="Bookman Old Style" w:cs="Bookman Old Style"/>
          <w:b/>
          <w:spacing w:val="6"/>
          <w:sz w:val="28"/>
          <w:szCs w:val="28"/>
          <w:lang w:val="es-CO"/>
        </w:rPr>
      </w:pPr>
      <w:r>
        <w:rPr>
          <w:rFonts w:ascii="Bookman Old Style" w:eastAsia="Bookman Old Style" w:hAnsi="Bookman Old Style" w:cs="Bookman Old Style"/>
          <w:b/>
          <w:spacing w:val="6"/>
          <w:sz w:val="28"/>
          <w:szCs w:val="28"/>
        </w:rPr>
        <w:t>DIEGO EUGENIO CORREDOR BELTRÁN</w:t>
      </w:r>
    </w:p>
    <w:p w14:paraId="49A91C75" w14:textId="77777777" w:rsidR="008A0970" w:rsidRDefault="008A0970" w:rsidP="008A0970">
      <w:pPr>
        <w:ind w:firstLine="709"/>
        <w:jc w:val="center"/>
        <w:rPr>
          <w:rFonts w:ascii="Bookman Old Style" w:eastAsia="Bookman Old Style" w:hAnsi="Bookman Old Style" w:cs="Bookman Old Style"/>
          <w:b/>
          <w:spacing w:val="6"/>
          <w:sz w:val="28"/>
          <w:szCs w:val="28"/>
          <w:lang w:val="es-ES"/>
        </w:rPr>
      </w:pPr>
    </w:p>
    <w:p w14:paraId="77B5A292" w14:textId="77777777" w:rsidR="008A0970" w:rsidRDefault="008A0970" w:rsidP="008A0970">
      <w:pPr>
        <w:ind w:firstLine="709"/>
        <w:jc w:val="center"/>
        <w:rPr>
          <w:rFonts w:ascii="Bookman Old Style" w:eastAsia="Bookman Old Style" w:hAnsi="Bookman Old Style" w:cs="Bookman Old Style"/>
          <w:b/>
          <w:spacing w:val="6"/>
          <w:sz w:val="28"/>
          <w:szCs w:val="28"/>
        </w:rPr>
      </w:pPr>
    </w:p>
    <w:p w14:paraId="0E2AB4BA" w14:textId="77777777" w:rsidR="008A0970" w:rsidRDefault="008A0970" w:rsidP="008A097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 xml:space="preserve">JORGE HERNÁN DÍAZ SOTO </w:t>
      </w:r>
    </w:p>
    <w:p w14:paraId="1763F673" w14:textId="77777777" w:rsidR="008A0970" w:rsidRDefault="008A0970" w:rsidP="008A0970">
      <w:pPr>
        <w:ind w:firstLine="709"/>
        <w:jc w:val="center"/>
        <w:rPr>
          <w:rFonts w:ascii="Bookman Old Style" w:hAnsi="Bookman Old Style"/>
          <w:b/>
          <w:spacing w:val="6"/>
          <w:sz w:val="28"/>
          <w:szCs w:val="28"/>
        </w:rPr>
      </w:pPr>
    </w:p>
    <w:p w14:paraId="70F25A10" w14:textId="77777777" w:rsidR="008A0970" w:rsidRDefault="008A0970" w:rsidP="008A0970">
      <w:pPr>
        <w:ind w:firstLine="709"/>
        <w:jc w:val="center"/>
        <w:rPr>
          <w:rFonts w:ascii="Bookman Old Style" w:eastAsiaTheme="minorEastAsia" w:hAnsi="Bookman Old Style" w:cstheme="minorBidi"/>
          <w:b/>
          <w:spacing w:val="6"/>
          <w:sz w:val="28"/>
          <w:szCs w:val="28"/>
        </w:rPr>
      </w:pPr>
      <w:r>
        <w:rPr>
          <w:rFonts w:ascii="Bookman Old Style" w:hAnsi="Bookman Old Style"/>
          <w:b/>
          <w:spacing w:val="6"/>
          <w:sz w:val="28"/>
          <w:szCs w:val="28"/>
        </w:rPr>
        <w:t>HUGO QUINTERO BERNATE</w:t>
      </w:r>
    </w:p>
    <w:p w14:paraId="1C76122C" w14:textId="77777777" w:rsidR="008A0970" w:rsidRDefault="008A0970" w:rsidP="008A0970">
      <w:pPr>
        <w:ind w:firstLine="709"/>
        <w:jc w:val="center"/>
        <w:rPr>
          <w:rFonts w:ascii="Bookman Old Style" w:eastAsia="Bookman Old Style" w:hAnsi="Bookman Old Style" w:cs="Bookman Old Style"/>
          <w:b/>
          <w:spacing w:val="6"/>
          <w:sz w:val="28"/>
          <w:szCs w:val="28"/>
        </w:rPr>
      </w:pPr>
    </w:p>
    <w:p w14:paraId="78A3ED49" w14:textId="77777777" w:rsidR="008A0970" w:rsidRDefault="008A0970" w:rsidP="008A0970">
      <w:pPr>
        <w:ind w:firstLine="709"/>
        <w:jc w:val="center"/>
        <w:rPr>
          <w:rFonts w:ascii="Bookman Old Style" w:eastAsia="Bookman Old Style" w:hAnsi="Bookman Old Style" w:cs="Bookman Old Style"/>
          <w:b/>
          <w:spacing w:val="6"/>
          <w:sz w:val="28"/>
          <w:szCs w:val="28"/>
        </w:rPr>
      </w:pPr>
      <w:r>
        <w:rPr>
          <w:rFonts w:ascii="Bookman Old Style" w:eastAsia="Bookman Old Style" w:hAnsi="Bookman Old Style" w:cs="Bookman Old Style"/>
          <w:b/>
          <w:spacing w:val="6"/>
          <w:sz w:val="28"/>
          <w:szCs w:val="28"/>
        </w:rPr>
        <w:t>JOSÉ JOAQUÍN URBANO MARTÍNEZ</w:t>
      </w:r>
    </w:p>
    <w:p w14:paraId="41420E4E" w14:textId="77777777" w:rsidR="008A0970" w:rsidRPr="00895E84" w:rsidRDefault="008A0970" w:rsidP="006C32A9">
      <w:pPr>
        <w:spacing w:line="360" w:lineRule="auto"/>
        <w:ind w:firstLine="709"/>
        <w:jc w:val="center"/>
        <w:rPr>
          <w:rFonts w:ascii="Bookman Old Style" w:hAnsi="Bookman Old Style" w:cs="Arial"/>
          <w:b/>
          <w:spacing w:val="6"/>
          <w:kern w:val="2"/>
          <w:sz w:val="28"/>
          <w:szCs w:val="28"/>
          <w:lang w:val="es-CO"/>
        </w:rPr>
      </w:pPr>
    </w:p>
    <w:p w14:paraId="1E96EFFA" w14:textId="5036C284" w:rsidR="000273DE" w:rsidRPr="00895E84" w:rsidRDefault="000273DE" w:rsidP="003D30EC">
      <w:pPr>
        <w:spacing w:line="360" w:lineRule="auto"/>
        <w:rPr>
          <w:bCs/>
          <w:spacing w:val="6"/>
          <w:sz w:val="20"/>
          <w:lang w:val="es-CO"/>
        </w:rPr>
      </w:pPr>
    </w:p>
    <w:sectPr w:rsidR="000273DE" w:rsidRPr="00895E84" w:rsidSect="007F0489">
      <w:headerReference w:type="even" r:id="rId12"/>
      <w:headerReference w:type="default" r:id="rId13"/>
      <w:footerReference w:type="default" r:id="rId14"/>
      <w:headerReference w:type="first" r:id="rId15"/>
      <w:footerReference w:type="first" r:id="rId16"/>
      <w:pgSz w:w="12242" w:h="18722" w:code="14"/>
      <w:pgMar w:top="1701" w:right="1701" w:bottom="1701" w:left="1701" w:header="737"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50530" w14:textId="77777777" w:rsidR="00B84C9A" w:rsidRDefault="00B84C9A" w:rsidP="00AE3B30">
      <w:r>
        <w:separator/>
      </w:r>
    </w:p>
  </w:endnote>
  <w:endnote w:type="continuationSeparator" w:id="0">
    <w:p w14:paraId="31DA4BA0" w14:textId="77777777" w:rsidR="00B84C9A" w:rsidRDefault="00B84C9A" w:rsidP="00AE3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705077"/>
      <w:docPartObj>
        <w:docPartGallery w:val="Page Numbers (Bottom of Page)"/>
        <w:docPartUnique/>
      </w:docPartObj>
    </w:sdtPr>
    <w:sdtEndPr>
      <w:rPr>
        <w:rFonts w:ascii="Bookman Old Style" w:hAnsi="Bookman Old Style"/>
        <w:sz w:val="24"/>
        <w:szCs w:val="24"/>
      </w:rPr>
    </w:sdtEndPr>
    <w:sdtContent>
      <w:p w14:paraId="3482ECF1" w14:textId="419AF90D" w:rsidR="00EB0B1D" w:rsidRPr="007B263F" w:rsidRDefault="00EB0B1D" w:rsidP="007B263F">
        <w:pPr>
          <w:pStyle w:val="Piedepgina"/>
          <w:jc w:val="right"/>
          <w:rPr>
            <w:rFonts w:ascii="Bookman Old Style" w:hAnsi="Bookman Old Style"/>
            <w:sz w:val="24"/>
          </w:rPr>
        </w:pPr>
        <w:r w:rsidRPr="00EB0B1D">
          <w:rPr>
            <w:rFonts w:ascii="Bookman Old Style" w:hAnsi="Bookman Old Style"/>
            <w:sz w:val="24"/>
          </w:rPr>
          <w:fldChar w:fldCharType="begin"/>
        </w:r>
        <w:r w:rsidRPr="00EB0B1D">
          <w:rPr>
            <w:rFonts w:ascii="Bookman Old Style" w:hAnsi="Bookman Old Style"/>
            <w:sz w:val="24"/>
          </w:rPr>
          <w:instrText>PAGE   \* MERGEFORMAT</w:instrText>
        </w:r>
        <w:r w:rsidRPr="00EB0B1D">
          <w:rPr>
            <w:rFonts w:ascii="Bookman Old Style" w:hAnsi="Bookman Old Style"/>
            <w:sz w:val="24"/>
          </w:rPr>
          <w:fldChar w:fldCharType="separate"/>
        </w:r>
        <w:r w:rsidR="00E92DB7" w:rsidRPr="00E92DB7">
          <w:rPr>
            <w:rFonts w:ascii="Bookman Old Style" w:hAnsi="Bookman Old Style"/>
            <w:noProof/>
            <w:sz w:val="24"/>
            <w:lang w:val="es-ES"/>
          </w:rPr>
          <w:t>1</w:t>
        </w:r>
        <w:r w:rsidRPr="00EB0B1D">
          <w:rPr>
            <w:rFonts w:ascii="Bookman Old Style" w:hAnsi="Bookman Old Style"/>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8B00" w14:textId="77777777" w:rsidR="00A10B11" w:rsidRPr="00B70F74" w:rsidRDefault="00A10B11" w:rsidP="00B70F74">
    <w:pPr>
      <w:pStyle w:val="Piedepgina"/>
      <w:jc w:val="both"/>
      <w:rPr>
        <w:rFonts w:ascii="Bookman Old Style" w:hAnsi="Bookman Old Style"/>
        <w:sz w:val="2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59E79" w14:textId="77777777" w:rsidR="00B84C9A" w:rsidRDefault="00B84C9A" w:rsidP="00AE3B30">
      <w:r>
        <w:separator/>
      </w:r>
    </w:p>
  </w:footnote>
  <w:footnote w:type="continuationSeparator" w:id="0">
    <w:p w14:paraId="25EF9260" w14:textId="77777777" w:rsidR="00B84C9A" w:rsidRDefault="00B84C9A" w:rsidP="00AE3B30">
      <w:r>
        <w:continuationSeparator/>
      </w:r>
    </w:p>
  </w:footnote>
  <w:footnote w:id="1">
    <w:p w14:paraId="2244B1B1" w14:textId="3ECC67CC" w:rsidR="009D7FCD" w:rsidRPr="009D7FCD" w:rsidRDefault="009D7FCD" w:rsidP="009D7FCD">
      <w:pPr>
        <w:pStyle w:val="Textonotapie"/>
        <w:jc w:val="both"/>
        <w:rPr>
          <w:rFonts w:ascii="Bookman Old Style" w:hAnsi="Bookman Old Style"/>
        </w:rPr>
      </w:pPr>
      <w:r w:rsidRPr="009D7FCD">
        <w:rPr>
          <w:rStyle w:val="Refdenotaalpie"/>
          <w:rFonts w:ascii="Bookman Old Style" w:hAnsi="Bookman Old Style"/>
        </w:rPr>
        <w:footnoteRef/>
      </w:r>
      <w:r w:rsidRPr="009D7FCD">
        <w:rPr>
          <w:rFonts w:ascii="Bookman Old Style" w:hAnsi="Bookman Old Style"/>
        </w:rPr>
        <w:t xml:space="preserve"> Hechos consignados en la sentencia No. 4 Juzgado Tercero Penal del Circuito Especializado de Extinción de dominio de Bogotá, rad. 2010-001-3, del 30 de enero de 2012.</w:t>
      </w:r>
    </w:p>
  </w:footnote>
  <w:footnote w:id="2">
    <w:p w14:paraId="7D31FABD" w14:textId="33ACE2C7" w:rsidR="009D7FCD" w:rsidRPr="009D7FCD" w:rsidRDefault="009D7FCD" w:rsidP="009D7FCD">
      <w:pPr>
        <w:pStyle w:val="Textonotapie"/>
        <w:jc w:val="both"/>
        <w:rPr>
          <w:rFonts w:ascii="Bookman Old Style" w:hAnsi="Bookman Old Style"/>
        </w:rPr>
      </w:pPr>
      <w:r w:rsidRPr="009D7FCD">
        <w:rPr>
          <w:rStyle w:val="Refdenotaalpie"/>
          <w:rFonts w:ascii="Bookman Old Style" w:hAnsi="Bookman Old Style"/>
        </w:rPr>
        <w:footnoteRef/>
      </w:r>
      <w:r w:rsidRPr="009D7FCD">
        <w:rPr>
          <w:rFonts w:ascii="Bookman Old Style" w:hAnsi="Bookman Old Style"/>
        </w:rPr>
        <w:t xml:space="preserve"> Tribunal Superior del Distrito Judicial de Bogotá, Sala de Extinción de Dominio, decisión del 16 de diciembre de 2014.</w:t>
      </w:r>
    </w:p>
  </w:footnote>
  <w:footnote w:id="3">
    <w:p w14:paraId="0196DCBC" w14:textId="12C558D5" w:rsidR="006517BE" w:rsidRPr="006517BE" w:rsidRDefault="006517BE" w:rsidP="006517BE">
      <w:pPr>
        <w:pStyle w:val="Textonotapie"/>
        <w:jc w:val="both"/>
        <w:rPr>
          <w:rFonts w:ascii="Bookman Old Style" w:hAnsi="Bookman Old Style"/>
          <w:i/>
          <w:lang w:val="es-ES"/>
        </w:rPr>
      </w:pPr>
      <w:r w:rsidRPr="006517BE">
        <w:rPr>
          <w:rStyle w:val="Refdenotaalpie"/>
          <w:rFonts w:ascii="Bookman Old Style" w:hAnsi="Bookman Old Style"/>
          <w:i/>
        </w:rPr>
        <w:footnoteRef/>
      </w:r>
      <w:r w:rsidRPr="006517BE">
        <w:rPr>
          <w:rFonts w:ascii="Bookman Old Style" w:hAnsi="Bookman Old Style"/>
          <w:i/>
        </w:rPr>
        <w:t xml:space="preserve"> “</w:t>
      </w:r>
      <w:r w:rsidRPr="006517BE">
        <w:rPr>
          <w:rFonts w:ascii="Bookman Old Style" w:hAnsi="Bookman Old Style" w:cs="Arial"/>
          <w:i/>
          <w:color w:val="4B4949"/>
        </w:rPr>
        <w:t>Por la cual se deroga la Ley 333 de 1996 y se establecen las reglas que gobiernan la extinción de dominio.”</w:t>
      </w:r>
    </w:p>
  </w:footnote>
  <w:footnote w:id="4">
    <w:p w14:paraId="2EDB7418" w14:textId="49CC26A4" w:rsidR="00C20238" w:rsidRPr="00AD21C2" w:rsidRDefault="00C20238" w:rsidP="00AD6334">
      <w:pPr>
        <w:pStyle w:val="Textonotapie"/>
        <w:jc w:val="both"/>
        <w:rPr>
          <w:rFonts w:ascii="Bookman Old Style" w:hAnsi="Bookman Old Style"/>
          <w:lang w:val="es-CO"/>
        </w:rPr>
      </w:pPr>
      <w:r w:rsidRPr="00AD21C2">
        <w:rPr>
          <w:rStyle w:val="Refdenotaalpie"/>
          <w:rFonts w:ascii="Bookman Old Style" w:hAnsi="Bookman Old Style"/>
        </w:rPr>
        <w:footnoteRef/>
      </w:r>
      <w:r w:rsidRPr="00AD21C2">
        <w:rPr>
          <w:rFonts w:ascii="Bookman Old Style" w:hAnsi="Bookman Old Style"/>
        </w:rPr>
        <w:t xml:space="preserve"> </w:t>
      </w:r>
      <w:r w:rsidR="00AD21C2" w:rsidRPr="00AD21C2">
        <w:rPr>
          <w:rFonts w:ascii="Bookman Old Style" w:hAnsi="Bookman Old Style"/>
        </w:rPr>
        <w:t>Magistrados Luis Antonio Hernández Barbosa, Fabio Ospitia Garzón y Hugo Quintero Bernate.</w:t>
      </w:r>
    </w:p>
  </w:footnote>
  <w:footnote w:id="5">
    <w:p w14:paraId="57C26771" w14:textId="6AE980E7" w:rsidR="00AD21C2" w:rsidRPr="00281F6A" w:rsidRDefault="00AD21C2" w:rsidP="00281F6A">
      <w:pPr>
        <w:pStyle w:val="Textonotapie"/>
        <w:jc w:val="both"/>
        <w:rPr>
          <w:rFonts w:ascii="Bookman Old Style" w:hAnsi="Bookman Old Style"/>
          <w:lang w:val="es-CO"/>
        </w:rPr>
      </w:pPr>
      <w:r w:rsidRPr="00281F6A">
        <w:rPr>
          <w:rStyle w:val="Refdenotaalpie"/>
          <w:rFonts w:ascii="Bookman Old Style" w:hAnsi="Bookman Old Style"/>
        </w:rPr>
        <w:footnoteRef/>
      </w:r>
      <w:r w:rsidRPr="00281F6A">
        <w:rPr>
          <w:rFonts w:ascii="Bookman Old Style" w:hAnsi="Bookman Old Style"/>
        </w:rPr>
        <w:t xml:space="preserve"> </w:t>
      </w:r>
      <w:r w:rsidR="00281F6A" w:rsidRPr="00281F6A">
        <w:rPr>
          <w:rFonts w:ascii="Bookman Old Style" w:hAnsi="Bookman Old Style"/>
        </w:rPr>
        <w:t>Magistrados Diego Eugenio Corredor Beltrán, Myriam Ávila Roldán y Gerson Chaverra Castro.</w:t>
      </w:r>
    </w:p>
  </w:footnote>
  <w:footnote w:id="6">
    <w:p w14:paraId="677B01D7" w14:textId="6EEB778C" w:rsidR="00763579" w:rsidRPr="00DF106E" w:rsidRDefault="00763579">
      <w:pPr>
        <w:pStyle w:val="Textonotapie"/>
        <w:rPr>
          <w:rFonts w:ascii="Bookman Old Style" w:hAnsi="Bookman Old Style"/>
          <w:lang w:val="es-CO"/>
        </w:rPr>
      </w:pPr>
      <w:r w:rsidRPr="00DF106E">
        <w:rPr>
          <w:rStyle w:val="Refdenotaalpie"/>
          <w:rFonts w:ascii="Bookman Old Style" w:hAnsi="Bookman Old Style"/>
        </w:rPr>
        <w:footnoteRef/>
      </w:r>
      <w:r w:rsidRPr="00DF106E">
        <w:rPr>
          <w:rFonts w:ascii="Bookman Old Style" w:hAnsi="Bookman Old Style"/>
        </w:rPr>
        <w:t xml:space="preserve"> </w:t>
      </w:r>
      <w:r w:rsidR="00DF106E" w:rsidRPr="00DF106E">
        <w:rPr>
          <w:rFonts w:ascii="Bookman Old Style" w:hAnsi="Bookman Old Style"/>
        </w:rPr>
        <w:t>CSJ, SP1965-2017, rad. 49318.</w:t>
      </w:r>
    </w:p>
  </w:footnote>
  <w:footnote w:id="7">
    <w:p w14:paraId="7F260552" w14:textId="11D21A1D" w:rsidR="00524FF2" w:rsidRDefault="00524FF2">
      <w:pPr>
        <w:pStyle w:val="Textonotapie"/>
        <w:rPr>
          <w:rFonts w:ascii="Bookman Old Style" w:hAnsi="Bookman Old Style"/>
          <w:i/>
          <w:lang w:val="es-ES"/>
        </w:rPr>
      </w:pPr>
      <w:r>
        <w:rPr>
          <w:rStyle w:val="Refdenotaalpie"/>
        </w:rPr>
        <w:footnoteRef/>
      </w:r>
      <w:r>
        <w:t xml:space="preserve"> </w:t>
      </w:r>
      <w:r w:rsidRPr="00524FF2">
        <w:rPr>
          <w:rFonts w:ascii="Bookman Old Style" w:hAnsi="Bookman Old Style"/>
          <w:i/>
        </w:rPr>
        <w:t>“</w:t>
      </w:r>
      <w:r w:rsidRPr="00524FF2">
        <w:rPr>
          <w:rFonts w:ascii="Bookman Old Style" w:hAnsi="Bookman Old Style"/>
          <w:i/>
          <w:lang w:val="es-ES"/>
        </w:rPr>
        <w:t>Por el cual se expide el Código de Extinción de Dominio”</w:t>
      </w:r>
    </w:p>
    <w:p w14:paraId="44408B20" w14:textId="6B51AC5D" w:rsidR="00524FF2" w:rsidRPr="00524FF2" w:rsidRDefault="00524FF2" w:rsidP="00524FF2">
      <w:pPr>
        <w:pStyle w:val="Textonotapie"/>
        <w:jc w:val="both"/>
        <w:rPr>
          <w:rFonts w:ascii="Bookman Old Style" w:hAnsi="Bookman Old Style"/>
          <w:i/>
          <w:lang w:val="es-ES"/>
        </w:rPr>
      </w:pPr>
      <w:bookmarkStart w:id="0" w:name="217"/>
      <w:r w:rsidRPr="00524FF2">
        <w:rPr>
          <w:rFonts w:ascii="Bookman Old Style" w:hAnsi="Bookman Old Style" w:cs="Arial"/>
          <w:bCs/>
          <w:i/>
        </w:rPr>
        <w:t>«ARTÍCULO 217. RÉGIMEN DE TRANSICIÓN.</w:t>
      </w:r>
      <w:bookmarkEnd w:id="0"/>
      <w:r w:rsidRPr="00524FF2">
        <w:rPr>
          <w:rFonts w:ascii="Bookman Old Style" w:hAnsi="Bookman Old Style" w:cs="Arial"/>
          <w:i/>
        </w:rPr>
        <w:t xml:space="preserve"> Los procesos en que se haya proferido resolución de inicio con fundamento en las causales que estaban previstas en los numerales 1 al 7 de la Ley </w:t>
      </w:r>
      <w:hyperlink r:id="rId1" w:anchor="Inicio" w:history="1">
        <w:r w:rsidRPr="00524FF2">
          <w:rPr>
            <w:rStyle w:val="Hipervnculo"/>
            <w:rFonts w:ascii="Bookman Old Style" w:hAnsi="Bookman Old Style" w:cs="Arial"/>
            <w:i/>
            <w:color w:val="auto"/>
          </w:rPr>
          <w:t>793</w:t>
        </w:r>
      </w:hyperlink>
      <w:r w:rsidRPr="00524FF2">
        <w:rPr>
          <w:rFonts w:ascii="Bookman Old Style" w:hAnsi="Bookman Old Style"/>
          <w:i/>
        </w:rPr>
        <w:t xml:space="preserve"> </w:t>
      </w:r>
      <w:r w:rsidRPr="00524FF2">
        <w:rPr>
          <w:rFonts w:ascii="Bookman Old Style" w:hAnsi="Bookman Old Style" w:cs="Arial"/>
          <w:i/>
        </w:rPr>
        <w:t xml:space="preserve">de 2002, antes de la expedición de la Ley </w:t>
      </w:r>
      <w:hyperlink r:id="rId2" w:anchor="Inicio" w:history="1">
        <w:r w:rsidRPr="00524FF2">
          <w:rPr>
            <w:rStyle w:val="Hipervnculo"/>
            <w:rFonts w:ascii="Bookman Old Style" w:hAnsi="Bookman Old Style" w:cs="Arial"/>
            <w:i/>
            <w:color w:val="auto"/>
          </w:rPr>
          <w:t>1453</w:t>
        </w:r>
      </w:hyperlink>
      <w:r w:rsidRPr="00524FF2">
        <w:rPr>
          <w:rFonts w:ascii="Bookman Old Style" w:hAnsi="Bookman Old Style"/>
          <w:i/>
        </w:rPr>
        <w:t xml:space="preserve"> </w:t>
      </w:r>
      <w:r w:rsidRPr="00524FF2">
        <w:rPr>
          <w:rFonts w:ascii="Bookman Old Style" w:hAnsi="Bookman Old Style" w:cs="Arial"/>
          <w:i/>
        </w:rPr>
        <w:t>de 2011, seguirán rigiéndose por dichas disposiciones.»</w:t>
      </w:r>
    </w:p>
  </w:footnote>
  <w:footnote w:id="8">
    <w:p w14:paraId="4F23A47F" w14:textId="27454A4A" w:rsidR="005E48F3" w:rsidRPr="009D7FCD" w:rsidRDefault="005E48F3" w:rsidP="00DB027A">
      <w:pPr>
        <w:pStyle w:val="Textonotapie"/>
        <w:jc w:val="both"/>
        <w:rPr>
          <w:rFonts w:ascii="Bookman Old Style" w:hAnsi="Bookman Old Style"/>
          <w:lang w:val="en-US"/>
        </w:rPr>
      </w:pPr>
      <w:r w:rsidRPr="00DB027A">
        <w:rPr>
          <w:rStyle w:val="Refdenotaalpie"/>
          <w:rFonts w:ascii="Bookman Old Style" w:hAnsi="Bookman Old Style"/>
        </w:rPr>
        <w:footnoteRef/>
      </w:r>
      <w:r w:rsidRPr="009D7FCD">
        <w:rPr>
          <w:rFonts w:ascii="Bookman Old Style" w:hAnsi="Bookman Old Style"/>
          <w:lang w:val="en-US"/>
        </w:rPr>
        <w:t xml:space="preserve"> </w:t>
      </w:r>
      <w:r w:rsidR="00C94858" w:rsidRPr="009D7FCD">
        <w:rPr>
          <w:rFonts w:ascii="Bookman Old Style" w:hAnsi="Bookman Old Style"/>
          <w:lang w:val="en-US"/>
        </w:rPr>
        <w:t>CSJ, AP281-2021, rad. 58129, AP972-2020, rad.</w:t>
      </w:r>
      <w:r w:rsidR="00B43D99" w:rsidRPr="009D7FCD">
        <w:rPr>
          <w:rFonts w:ascii="Bookman Old Style" w:hAnsi="Bookman Old Style"/>
          <w:lang w:val="en-US"/>
        </w:rPr>
        <w:t xml:space="preserve"> 56049, AP4752-2018, rad. 53135, AP4907-2017, rad.</w:t>
      </w:r>
      <w:r w:rsidR="00DB027A" w:rsidRPr="009D7FCD">
        <w:rPr>
          <w:rFonts w:ascii="Bookman Old Style" w:hAnsi="Bookman Old Style"/>
          <w:lang w:val="en-US"/>
        </w:rPr>
        <w:t xml:space="preserve"> 50437.</w:t>
      </w:r>
    </w:p>
  </w:footnote>
  <w:footnote w:id="9">
    <w:p w14:paraId="7F42C984" w14:textId="394CC5EC" w:rsidR="00EF770B" w:rsidRPr="00210840" w:rsidRDefault="00EF770B">
      <w:pPr>
        <w:pStyle w:val="Textonotapie"/>
        <w:rPr>
          <w:rFonts w:ascii="Bookman Old Style" w:hAnsi="Bookman Old Style"/>
          <w:lang w:val="es-CO"/>
        </w:rPr>
      </w:pPr>
      <w:r w:rsidRPr="00210840">
        <w:rPr>
          <w:rStyle w:val="Refdenotaalpie"/>
          <w:rFonts w:ascii="Bookman Old Style" w:hAnsi="Bookman Old Style"/>
        </w:rPr>
        <w:footnoteRef/>
      </w:r>
      <w:r w:rsidRPr="00210840">
        <w:rPr>
          <w:rFonts w:ascii="Bookman Old Style" w:hAnsi="Bookman Old Style"/>
        </w:rPr>
        <w:t xml:space="preserve"> </w:t>
      </w:r>
      <w:r w:rsidR="00210840" w:rsidRPr="00210840">
        <w:rPr>
          <w:rFonts w:ascii="Bookman Old Style" w:hAnsi="Bookman Old Style"/>
          <w:lang w:val="es-CO"/>
        </w:rPr>
        <w:t>CSJ, AP4756-2018, rad. 53135.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F55B" w14:textId="23786353" w:rsidR="0073358E" w:rsidRDefault="00B84C9A">
    <w:pPr>
      <w:pStyle w:val="Encabezado"/>
    </w:pPr>
    <w:r>
      <w:rPr>
        <w:noProof/>
      </w:rPr>
      <w:pict w14:anchorId="5C872F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58251" o:spid="_x0000_s2050" type="#_x0000_t75" alt="" style="position:absolute;margin-left:0;margin-top:0;width:429.05pt;height:199.55pt;z-index:-251658239;mso-wrap-edited:f;mso-width-percent:0;mso-height-percent:0;mso-position-horizontal:center;mso-position-horizontal-relative:margin;mso-position-vertical:center;mso-position-vertical-relative:margin;mso-width-percent:0;mso-height-percent:0" o:allowincell="f">
          <v:imagedata r:id="rId1" o:title="PLANTILLA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4A6F" w14:textId="149AB491" w:rsidR="00540EE4" w:rsidRDefault="00AD6A96" w:rsidP="43420347">
    <w:pPr>
      <w:jc w:val="right"/>
      <w:rPr>
        <w:rFonts w:ascii="Bookman Old Style" w:eastAsia="Bookman Old Style" w:hAnsi="Bookman Old Style" w:cs="Bookman Old Style"/>
        <w:color w:val="242424"/>
        <w:sz w:val="20"/>
        <w:lang w:val="es-CO"/>
      </w:rPr>
    </w:pPr>
    <w:r>
      <w:rPr>
        <w:rFonts w:ascii="Bookman Old Style" w:hAnsi="Bookman Old Style"/>
        <w:noProof/>
        <w:sz w:val="20"/>
        <w:lang w:val="es-CO"/>
      </w:rPr>
      <w:drawing>
        <wp:anchor distT="0" distB="0" distL="114300" distR="114300" simplePos="0" relativeHeight="251658242" behindDoc="1" locked="0" layoutInCell="1" allowOverlap="1" wp14:anchorId="7F6B2C88" wp14:editId="726B1EF9">
          <wp:simplePos x="0" y="0"/>
          <wp:positionH relativeFrom="margin">
            <wp:align>center</wp:align>
          </wp:positionH>
          <wp:positionV relativeFrom="paragraph">
            <wp:posOffset>-191770</wp:posOffset>
          </wp:positionV>
          <wp:extent cx="7419975" cy="11336445"/>
          <wp:effectExtent l="0" t="0" r="0" b="0"/>
          <wp:wrapNone/>
          <wp:docPr id="805253677" name="Imagen 3"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53677" name="Imagen 3" descr="Imagen que contiene Diagra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419975" cy="11336445"/>
                  </a:xfrm>
                  <a:prstGeom prst="rect">
                    <a:avLst/>
                  </a:prstGeom>
                </pic:spPr>
              </pic:pic>
            </a:graphicData>
          </a:graphic>
          <wp14:sizeRelH relativeFrom="page">
            <wp14:pctWidth>0</wp14:pctWidth>
          </wp14:sizeRelH>
          <wp14:sizeRelV relativeFrom="page">
            <wp14:pctHeight>0</wp14:pctHeight>
          </wp14:sizeRelV>
        </wp:anchor>
      </w:drawing>
    </w:r>
    <w:r w:rsidR="43420347" w:rsidRPr="43420347">
      <w:rPr>
        <w:rFonts w:ascii="Bookman Old Style" w:hAnsi="Bookman Old Style"/>
        <w:sz w:val="20"/>
        <w:lang w:val="es-CO"/>
      </w:rPr>
      <w:t xml:space="preserve">CUI </w:t>
    </w:r>
    <w:r w:rsidR="43420347" w:rsidRPr="43420347">
      <w:rPr>
        <w:rFonts w:ascii="Bookman Old Style" w:eastAsia="Bookman Old Style" w:hAnsi="Bookman Old Style" w:cs="Bookman Old Style"/>
        <w:color w:val="242424"/>
        <w:sz w:val="20"/>
        <w:lang w:val="es-CO"/>
      </w:rPr>
      <w:t>1100122200020250024301</w:t>
    </w:r>
  </w:p>
  <w:p w14:paraId="0E0DDD65" w14:textId="0E7F815E" w:rsidR="003D30EC" w:rsidRPr="004F7392" w:rsidRDefault="003D30EC" w:rsidP="43420347">
    <w:pPr>
      <w:jc w:val="right"/>
      <w:rPr>
        <w:rFonts w:ascii="Bookman Old Style" w:hAnsi="Bookman Old Style"/>
        <w:sz w:val="20"/>
        <w:highlight w:val="cyan"/>
        <w:lang w:val="es-CO"/>
      </w:rPr>
    </w:pPr>
    <w:r>
      <w:rPr>
        <w:rFonts w:ascii="Bookman Old Style" w:eastAsia="Bookman Old Style" w:hAnsi="Bookman Old Style" w:cs="Bookman Old Style"/>
        <w:color w:val="242424"/>
        <w:sz w:val="20"/>
        <w:lang w:val="es-CO"/>
      </w:rPr>
      <w:t xml:space="preserve">Rad. </w:t>
    </w:r>
    <w:r w:rsidRPr="003D30EC">
      <w:rPr>
        <w:rFonts w:ascii="Bookman Old Style" w:eastAsia="Bookman Old Style" w:hAnsi="Bookman Old Style" w:cs="Bookman Old Style"/>
        <w:color w:val="242424"/>
        <w:sz w:val="20"/>
        <w:lang w:val="es-CO"/>
      </w:rPr>
      <w:t>71395</w:t>
    </w:r>
  </w:p>
  <w:p w14:paraId="3E1C553F" w14:textId="53BF4DA1" w:rsidR="00540EE4" w:rsidRPr="004F7392" w:rsidRDefault="43420347" w:rsidP="43420347">
    <w:pPr>
      <w:pStyle w:val="Encabezado"/>
      <w:jc w:val="right"/>
      <w:rPr>
        <w:rFonts w:ascii="Bookman Old Style" w:hAnsi="Bookman Old Style"/>
        <w:sz w:val="20"/>
        <w:lang w:val="es-CO"/>
      </w:rPr>
    </w:pPr>
    <w:r w:rsidRPr="43420347">
      <w:rPr>
        <w:rFonts w:ascii="Bookman Old Style" w:hAnsi="Bookman Old Style"/>
        <w:sz w:val="20"/>
        <w:lang w:val="es-CO"/>
      </w:rPr>
      <w:t xml:space="preserve">Revisión </w:t>
    </w:r>
  </w:p>
  <w:p w14:paraId="64E543EE" w14:textId="0DF405FE" w:rsidR="43420347" w:rsidRDefault="43420347" w:rsidP="43420347">
    <w:pPr>
      <w:pStyle w:val="Sinespaciado"/>
      <w:jc w:val="right"/>
      <w:rPr>
        <w:rFonts w:ascii="Bookman Old Style" w:hAnsi="Bookman Old Style"/>
        <w:sz w:val="20"/>
        <w:szCs w:val="20"/>
        <w:lang w:val="es-CO"/>
      </w:rPr>
    </w:pPr>
    <w:r w:rsidRPr="43420347">
      <w:rPr>
        <w:rFonts w:ascii="Bookman Old Style" w:hAnsi="Bookman Old Style"/>
        <w:sz w:val="20"/>
        <w:szCs w:val="20"/>
        <w:lang w:val="es-CO"/>
      </w:rPr>
      <w:t>EDMON JOSÉ BECHARA DONADO</w:t>
    </w:r>
  </w:p>
  <w:p w14:paraId="6E58EDFF" w14:textId="77777777" w:rsidR="001E0045" w:rsidRPr="00281D93" w:rsidRDefault="001E0045" w:rsidP="00B2749A">
    <w:pPr>
      <w:pStyle w:val="Sinespaciado"/>
      <w:jc w:val="right"/>
      <w:rPr>
        <w:rFonts w:ascii="Bookman Old Style" w:hAnsi="Bookman Old Style"/>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E497" w14:textId="7C498AC5" w:rsidR="00005E11" w:rsidRPr="00005E11" w:rsidRDefault="00B84C9A" w:rsidP="00005E11">
    <w:pPr>
      <w:pStyle w:val="Encabezado"/>
      <w:jc w:val="right"/>
      <w:rPr>
        <w:rFonts w:ascii="Bookman Old Style" w:hAnsi="Bookman Old Style"/>
        <w:sz w:val="20"/>
        <w:lang w:val="es-CO"/>
      </w:rPr>
    </w:pPr>
    <w:r>
      <w:rPr>
        <w:rFonts w:ascii="Bookman Old Style" w:hAnsi="Bookman Old Style"/>
        <w:noProof/>
        <w:sz w:val="20"/>
      </w:rPr>
      <w:pict w14:anchorId="1FF20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58250" o:spid="_x0000_s2049" type="#_x0000_t75" alt="" style="position:absolute;left:0;text-align:left;margin-left:0;margin-top:0;width:429.05pt;height:199.55pt;z-index:-251658240;mso-wrap-edited:f;mso-width-percent:0;mso-height-percent:0;mso-position-horizontal:center;mso-position-horizontal-relative:margin;mso-position-vertical:center;mso-position-vertical-relative:margin;mso-width-percent:0;mso-height-percent:0" o:allowincell="f">
          <v:imagedata r:id="rId1" o:title="PLANTILLA 2025"/>
          <w10:wrap anchorx="margin" anchory="margin"/>
        </v:shape>
      </w:pict>
    </w:r>
    <w:r w:rsidR="00005E11" w:rsidRPr="00005E11">
      <w:rPr>
        <w:rFonts w:ascii="Bookman Old Style" w:hAnsi="Bookman Old Style"/>
        <w:sz w:val="20"/>
        <w:lang w:val="es-CO"/>
      </w:rPr>
      <w:t xml:space="preserve">CUI </w:t>
    </w:r>
    <w:r w:rsidR="00CF03E0" w:rsidRPr="00CF03E0">
      <w:rPr>
        <w:rFonts w:ascii="Bookman Old Style" w:hAnsi="Bookman Old Style"/>
        <w:sz w:val="20"/>
        <w:lang w:val="es-CO"/>
      </w:rPr>
      <w:t>11001020400020250008200</w:t>
    </w:r>
  </w:p>
  <w:p w14:paraId="104A6C4B" w14:textId="79BF347E" w:rsidR="00005E11" w:rsidRPr="00005E11" w:rsidRDefault="00CF03E0" w:rsidP="00005E11">
    <w:pPr>
      <w:pStyle w:val="Encabezado"/>
      <w:jc w:val="right"/>
      <w:rPr>
        <w:rFonts w:ascii="Bookman Old Style" w:hAnsi="Bookman Old Style"/>
        <w:sz w:val="20"/>
        <w:lang w:val="es-CO"/>
      </w:rPr>
    </w:pPr>
    <w:r>
      <w:rPr>
        <w:rFonts w:ascii="Bookman Old Style" w:hAnsi="Bookman Old Style"/>
        <w:sz w:val="20"/>
        <w:lang w:val="es-CO"/>
      </w:rPr>
      <w:t>Revisión</w:t>
    </w:r>
    <w:r w:rsidR="00005E11" w:rsidRPr="00005E11">
      <w:rPr>
        <w:rFonts w:ascii="Bookman Old Style" w:hAnsi="Bookman Old Style"/>
        <w:sz w:val="20"/>
        <w:lang w:val="es-CO"/>
      </w:rPr>
      <w:t xml:space="preserve"> 68</w:t>
    </w:r>
    <w:r>
      <w:rPr>
        <w:rFonts w:ascii="Bookman Old Style" w:hAnsi="Bookman Old Style"/>
        <w:sz w:val="20"/>
        <w:lang w:val="es-CO"/>
      </w:rPr>
      <w:t>157</w:t>
    </w:r>
  </w:p>
  <w:p w14:paraId="12294168" w14:textId="6B09376A" w:rsidR="00005E11" w:rsidRPr="00005E11" w:rsidRDefault="00CF03E0" w:rsidP="00005E11">
    <w:pPr>
      <w:pStyle w:val="Encabezado"/>
      <w:jc w:val="right"/>
      <w:rPr>
        <w:rFonts w:ascii="Bookman Old Style" w:hAnsi="Bookman Old Style"/>
        <w:i/>
        <w:iCs/>
        <w:sz w:val="20"/>
        <w:lang w:val="es-CO"/>
      </w:rPr>
    </w:pPr>
    <w:r w:rsidRPr="00CF03E0">
      <w:rPr>
        <w:rFonts w:ascii="Bookman Old Style" w:hAnsi="Bookman Old Style"/>
        <w:i/>
        <w:iCs/>
        <w:sz w:val="20"/>
      </w:rPr>
      <w:t>ARISTARCO MART</w:t>
    </w:r>
    <w:r>
      <w:rPr>
        <w:rFonts w:ascii="Bookman Old Style" w:hAnsi="Bookman Old Style"/>
        <w:i/>
        <w:iCs/>
        <w:sz w:val="20"/>
      </w:rPr>
      <w:t>Í</w:t>
    </w:r>
    <w:r w:rsidRPr="00CF03E0">
      <w:rPr>
        <w:rFonts w:ascii="Bookman Old Style" w:hAnsi="Bookman Old Style"/>
        <w:i/>
        <w:iCs/>
        <w:sz w:val="20"/>
      </w:rPr>
      <w:t>NEZ MEDINA</w:t>
    </w:r>
  </w:p>
  <w:p w14:paraId="0DA3DFC7" w14:textId="53BEE32F" w:rsidR="003107FF" w:rsidRPr="00005E11" w:rsidRDefault="003107FF" w:rsidP="00005E11">
    <w:pPr>
      <w:pStyle w:val="Encabezado"/>
      <w:jc w:val="right"/>
      <w:rPr>
        <w:rFonts w:ascii="Bookman Old Style" w:hAnsi="Bookman Old Style"/>
        <w:sz w:val="20"/>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5AF"/>
    <w:multiLevelType w:val="hybridMultilevel"/>
    <w:tmpl w:val="EDA67EF4"/>
    <w:lvl w:ilvl="0" w:tplc="E06883DA">
      <w:start w:val="6"/>
      <w:numFmt w:val="decimal"/>
      <w:lvlText w:val="%1."/>
      <w:lvlJc w:val="left"/>
      <w:pPr>
        <w:ind w:left="1776" w:hanging="360"/>
      </w:pPr>
      <w:rPr>
        <w:rFonts w:hint="default"/>
        <w:color w:val="auto"/>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1" w15:restartNumberingAfterBreak="0">
    <w:nsid w:val="00A1493D"/>
    <w:multiLevelType w:val="multilevel"/>
    <w:tmpl w:val="F9A023E2"/>
    <w:lvl w:ilvl="0">
      <w:start w:val="1"/>
      <w:numFmt w:val="decimal"/>
      <w:lvlText w:val="%1."/>
      <w:lvlJc w:val="left"/>
      <w:pPr>
        <w:ind w:left="360" w:hanging="360"/>
      </w:pPr>
      <w:rPr>
        <w:b w:val="0"/>
        <w:bCs/>
        <w:i w:val="0"/>
        <w:iCs/>
        <w:sz w:val="28"/>
        <w:szCs w:val="28"/>
      </w:rPr>
    </w:lvl>
    <w:lvl w:ilvl="1">
      <w:start w:val="1"/>
      <w:numFmt w:val="decimal"/>
      <w:lvlText w:val="%1.%2."/>
      <w:lvlJc w:val="left"/>
      <w:pPr>
        <w:ind w:left="792" w:hanging="432"/>
      </w:pPr>
      <w:rPr>
        <w:b w:val="0"/>
        <w:bCs w:val="0"/>
        <w:i w:val="0"/>
        <w:iCs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86361"/>
    <w:multiLevelType w:val="multilevel"/>
    <w:tmpl w:val="9E4C3C4E"/>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C60819"/>
    <w:multiLevelType w:val="multilevel"/>
    <w:tmpl w:val="407062A0"/>
    <w:lvl w:ilvl="0">
      <w:start w:val="3"/>
      <w:numFmt w:val="decimal"/>
      <w:lvlText w:val="%1."/>
      <w:lvlJc w:val="left"/>
      <w:pPr>
        <w:ind w:left="720" w:hanging="360"/>
      </w:pPr>
      <w:rPr>
        <w:rFonts w:hint="default"/>
        <w:i w:val="0"/>
        <w:iCs/>
      </w:rPr>
    </w:lvl>
    <w:lvl w:ilvl="1">
      <w:start w:val="1"/>
      <w:numFmt w:val="decimal"/>
      <w:isLgl/>
      <w:lvlText w:val="%1.%2."/>
      <w:lvlJc w:val="left"/>
      <w:pPr>
        <w:ind w:left="1304" w:hanging="944"/>
      </w:pPr>
      <w:rPr>
        <w:rFonts w:hint="default"/>
        <w:i w:val="0"/>
        <w:i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191611D1"/>
    <w:multiLevelType w:val="hybridMultilevel"/>
    <w:tmpl w:val="4FB09C6A"/>
    <w:lvl w:ilvl="0" w:tplc="E7FAFDC0">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197F4883"/>
    <w:multiLevelType w:val="hybridMultilevel"/>
    <w:tmpl w:val="EE5A79C4"/>
    <w:lvl w:ilvl="0" w:tplc="2318A210">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6" w15:restartNumberingAfterBreak="0">
    <w:nsid w:val="1EAE227A"/>
    <w:multiLevelType w:val="hybridMultilevel"/>
    <w:tmpl w:val="0D0E2F2C"/>
    <w:lvl w:ilvl="0" w:tplc="FFFFFFFF">
      <w:start w:val="1"/>
      <w:numFmt w:val="decimal"/>
      <w:lvlText w:val="%1."/>
      <w:lvlJc w:val="left"/>
      <w:pPr>
        <w:ind w:left="958" w:hanging="390"/>
      </w:pPr>
      <w:rPr>
        <w:rFonts w:eastAsia="Calibri" w:hint="default"/>
        <w:i w:val="0"/>
        <w:sz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1EB8226A"/>
    <w:multiLevelType w:val="multilevel"/>
    <w:tmpl w:val="088A0210"/>
    <w:lvl w:ilvl="0">
      <w:start w:val="4"/>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5AD2430"/>
    <w:multiLevelType w:val="hybridMultilevel"/>
    <w:tmpl w:val="9E267EA0"/>
    <w:lvl w:ilvl="0" w:tplc="F66EA5E4">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9" w15:restartNumberingAfterBreak="0">
    <w:nsid w:val="283B1A7C"/>
    <w:multiLevelType w:val="hybridMultilevel"/>
    <w:tmpl w:val="DA86F13E"/>
    <w:lvl w:ilvl="0" w:tplc="4B16E8E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2C6ABB"/>
    <w:multiLevelType w:val="multilevel"/>
    <w:tmpl w:val="D35E41EE"/>
    <w:lvl w:ilvl="0">
      <w:start w:val="1"/>
      <w:numFmt w:val="upperRoman"/>
      <w:lvlText w:val="%1."/>
      <w:lvlJc w:val="left"/>
      <w:pPr>
        <w:ind w:left="1080" w:hanging="720"/>
      </w:pPr>
      <w:rPr>
        <w:rFonts w:hint="default"/>
        <w:b/>
        <w:bCs/>
        <w:color w:val="auto"/>
      </w:rPr>
    </w:lvl>
    <w:lvl w:ilvl="1">
      <w:start w:val="1"/>
      <w:numFmt w:val="decimal"/>
      <w:isLgl/>
      <w:lvlText w:val="%1.%2."/>
      <w:lvlJc w:val="left"/>
      <w:pPr>
        <w:ind w:left="1429" w:hanging="720"/>
      </w:pPr>
      <w:rPr>
        <w:rFonts w:hint="default"/>
        <w:b w:val="0"/>
        <w:bCs/>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963" w:hanging="2160"/>
      </w:pPr>
      <w:rPr>
        <w:rFonts w:hint="default"/>
      </w:rPr>
    </w:lvl>
    <w:lvl w:ilvl="8">
      <w:start w:val="1"/>
      <w:numFmt w:val="decimal"/>
      <w:isLgl/>
      <w:lvlText w:val="%1.%2.%3.%4.%5.%6.%7.%8.%9."/>
      <w:lvlJc w:val="left"/>
      <w:pPr>
        <w:ind w:left="5672" w:hanging="2520"/>
      </w:pPr>
      <w:rPr>
        <w:rFonts w:hint="default"/>
      </w:rPr>
    </w:lvl>
  </w:abstractNum>
  <w:abstractNum w:abstractNumId="11" w15:restartNumberingAfterBreak="0">
    <w:nsid w:val="2F3B3493"/>
    <w:multiLevelType w:val="hybridMultilevel"/>
    <w:tmpl w:val="5BD0D146"/>
    <w:lvl w:ilvl="0" w:tplc="D0C6B9B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30D17807"/>
    <w:multiLevelType w:val="hybridMultilevel"/>
    <w:tmpl w:val="59DEF6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7FF72D4"/>
    <w:multiLevelType w:val="multilevel"/>
    <w:tmpl w:val="10F04E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1B4E08"/>
    <w:multiLevelType w:val="hybridMultilevel"/>
    <w:tmpl w:val="DBBEAFF0"/>
    <w:lvl w:ilvl="0" w:tplc="F36C345A">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5" w15:restartNumberingAfterBreak="0">
    <w:nsid w:val="4CEF38DD"/>
    <w:multiLevelType w:val="hybridMultilevel"/>
    <w:tmpl w:val="20C8161C"/>
    <w:lvl w:ilvl="0" w:tplc="8ED64258">
      <w:start w:val="1"/>
      <w:numFmt w:val="decimal"/>
      <w:lvlText w:val="%1."/>
      <w:lvlJc w:val="left"/>
      <w:pPr>
        <w:ind w:left="1211" w:hanging="360"/>
      </w:pPr>
      <w:rPr>
        <w:rFonts w:ascii="Bookman Old Style" w:hAnsi="Bookman Old Style" w:hint="default"/>
        <w:b/>
        <w:bCs/>
        <w:sz w:val="28"/>
        <w:szCs w:val="28"/>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6" w15:restartNumberingAfterBreak="0">
    <w:nsid w:val="507A1CA3"/>
    <w:multiLevelType w:val="multilevel"/>
    <w:tmpl w:val="F9A023E2"/>
    <w:lvl w:ilvl="0">
      <w:start w:val="1"/>
      <w:numFmt w:val="decimal"/>
      <w:lvlText w:val="%1."/>
      <w:lvlJc w:val="left"/>
      <w:pPr>
        <w:ind w:left="360" w:hanging="360"/>
      </w:pPr>
      <w:rPr>
        <w:b w:val="0"/>
        <w:bCs/>
        <w:i w:val="0"/>
        <w:iCs/>
        <w:sz w:val="28"/>
        <w:szCs w:val="28"/>
      </w:rPr>
    </w:lvl>
    <w:lvl w:ilvl="1">
      <w:start w:val="1"/>
      <w:numFmt w:val="decimal"/>
      <w:lvlText w:val="%1.%2."/>
      <w:lvlJc w:val="left"/>
      <w:pPr>
        <w:ind w:left="792" w:hanging="432"/>
      </w:pPr>
      <w:rPr>
        <w:b w:val="0"/>
        <w:bCs w:val="0"/>
        <w:i w:val="0"/>
        <w:iCs w:val="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933D0E"/>
    <w:multiLevelType w:val="multilevel"/>
    <w:tmpl w:val="ECB81108"/>
    <w:lvl w:ilvl="0">
      <w:start w:val="1"/>
      <w:numFmt w:val="decimal"/>
      <w:lvlText w:val="%1."/>
      <w:lvlJc w:val="left"/>
      <w:pPr>
        <w:ind w:left="660" w:hanging="66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2500" w:hanging="108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4280" w:hanging="1440"/>
      </w:pPr>
      <w:rPr>
        <w:rFonts w:hint="default"/>
        <w:b/>
      </w:rPr>
    </w:lvl>
    <w:lvl w:ilvl="5">
      <w:start w:val="1"/>
      <w:numFmt w:val="decimal"/>
      <w:lvlText w:val="%1.%2.%3.%4.%5.%6."/>
      <w:lvlJc w:val="left"/>
      <w:pPr>
        <w:ind w:left="5350" w:hanging="1800"/>
      </w:pPr>
      <w:rPr>
        <w:rFonts w:hint="default"/>
        <w:b/>
      </w:rPr>
    </w:lvl>
    <w:lvl w:ilvl="6">
      <w:start w:val="1"/>
      <w:numFmt w:val="decimal"/>
      <w:lvlText w:val="%1.%2.%3.%4.%5.%6.%7."/>
      <w:lvlJc w:val="left"/>
      <w:pPr>
        <w:ind w:left="6420" w:hanging="2160"/>
      </w:pPr>
      <w:rPr>
        <w:rFonts w:hint="default"/>
        <w:b/>
      </w:rPr>
    </w:lvl>
    <w:lvl w:ilvl="7">
      <w:start w:val="1"/>
      <w:numFmt w:val="decimal"/>
      <w:lvlText w:val="%1.%2.%3.%4.%5.%6.%7.%8."/>
      <w:lvlJc w:val="left"/>
      <w:pPr>
        <w:ind w:left="7130" w:hanging="2160"/>
      </w:pPr>
      <w:rPr>
        <w:rFonts w:hint="default"/>
        <w:b/>
      </w:rPr>
    </w:lvl>
    <w:lvl w:ilvl="8">
      <w:start w:val="1"/>
      <w:numFmt w:val="decimal"/>
      <w:lvlText w:val="%1.%2.%3.%4.%5.%6.%7.%8.%9."/>
      <w:lvlJc w:val="left"/>
      <w:pPr>
        <w:ind w:left="8200" w:hanging="2520"/>
      </w:pPr>
      <w:rPr>
        <w:rFonts w:hint="default"/>
        <w:b/>
      </w:rPr>
    </w:lvl>
  </w:abstractNum>
  <w:abstractNum w:abstractNumId="18" w15:restartNumberingAfterBreak="0">
    <w:nsid w:val="610A7EDE"/>
    <w:multiLevelType w:val="multilevel"/>
    <w:tmpl w:val="576A1492"/>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3410"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7212E2"/>
    <w:multiLevelType w:val="hybridMultilevel"/>
    <w:tmpl w:val="0D0E2F2C"/>
    <w:lvl w:ilvl="0" w:tplc="B75CEEDA">
      <w:start w:val="1"/>
      <w:numFmt w:val="decimal"/>
      <w:lvlText w:val="%1."/>
      <w:lvlJc w:val="left"/>
      <w:pPr>
        <w:ind w:left="958" w:hanging="390"/>
      </w:pPr>
      <w:rPr>
        <w:rFonts w:eastAsia="Calibri" w:hint="default"/>
        <w:i w:val="0"/>
        <w:sz w:val="2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0" w15:restartNumberingAfterBreak="0">
    <w:nsid w:val="61BA6542"/>
    <w:multiLevelType w:val="multilevel"/>
    <w:tmpl w:val="A810EBFE"/>
    <w:lvl w:ilvl="0">
      <w:start w:val="2"/>
      <w:numFmt w:val="decimal"/>
      <w:lvlText w:val="%1."/>
      <w:lvlJc w:val="left"/>
      <w:pPr>
        <w:ind w:left="540" w:hanging="54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8200" w:hanging="2520"/>
      </w:pPr>
      <w:rPr>
        <w:rFonts w:hint="default"/>
      </w:rPr>
    </w:lvl>
  </w:abstractNum>
  <w:abstractNum w:abstractNumId="21" w15:restartNumberingAfterBreak="0">
    <w:nsid w:val="63FD35E4"/>
    <w:multiLevelType w:val="hybridMultilevel"/>
    <w:tmpl w:val="AB661530"/>
    <w:lvl w:ilvl="0" w:tplc="19705476">
      <w:start w:val="1"/>
      <w:numFmt w:val="decimal"/>
      <w:lvlText w:val="%1."/>
      <w:lvlJc w:val="left"/>
      <w:pPr>
        <w:ind w:left="1085" w:hanging="360"/>
      </w:pPr>
      <w:rPr>
        <w:rFonts w:ascii="Bookman Old Style" w:hAnsi="Bookman Old Style" w:hint="default"/>
        <w:b/>
        <w:bCs/>
        <w:lang w:val="es-CO"/>
      </w:rPr>
    </w:lvl>
    <w:lvl w:ilvl="1" w:tplc="240A0019" w:tentative="1">
      <w:start w:val="1"/>
      <w:numFmt w:val="lowerLetter"/>
      <w:lvlText w:val="%2."/>
      <w:lvlJc w:val="left"/>
      <w:pPr>
        <w:ind w:left="1805" w:hanging="360"/>
      </w:pPr>
    </w:lvl>
    <w:lvl w:ilvl="2" w:tplc="240A001B" w:tentative="1">
      <w:start w:val="1"/>
      <w:numFmt w:val="lowerRoman"/>
      <w:lvlText w:val="%3."/>
      <w:lvlJc w:val="right"/>
      <w:pPr>
        <w:ind w:left="2525" w:hanging="180"/>
      </w:pPr>
    </w:lvl>
    <w:lvl w:ilvl="3" w:tplc="240A000F" w:tentative="1">
      <w:start w:val="1"/>
      <w:numFmt w:val="decimal"/>
      <w:lvlText w:val="%4."/>
      <w:lvlJc w:val="left"/>
      <w:pPr>
        <w:ind w:left="3245" w:hanging="360"/>
      </w:pPr>
    </w:lvl>
    <w:lvl w:ilvl="4" w:tplc="240A0019" w:tentative="1">
      <w:start w:val="1"/>
      <w:numFmt w:val="lowerLetter"/>
      <w:lvlText w:val="%5."/>
      <w:lvlJc w:val="left"/>
      <w:pPr>
        <w:ind w:left="3965" w:hanging="360"/>
      </w:pPr>
    </w:lvl>
    <w:lvl w:ilvl="5" w:tplc="240A001B" w:tentative="1">
      <w:start w:val="1"/>
      <w:numFmt w:val="lowerRoman"/>
      <w:lvlText w:val="%6."/>
      <w:lvlJc w:val="right"/>
      <w:pPr>
        <w:ind w:left="4685" w:hanging="180"/>
      </w:pPr>
    </w:lvl>
    <w:lvl w:ilvl="6" w:tplc="240A000F" w:tentative="1">
      <w:start w:val="1"/>
      <w:numFmt w:val="decimal"/>
      <w:lvlText w:val="%7."/>
      <w:lvlJc w:val="left"/>
      <w:pPr>
        <w:ind w:left="5405" w:hanging="360"/>
      </w:pPr>
    </w:lvl>
    <w:lvl w:ilvl="7" w:tplc="240A0019" w:tentative="1">
      <w:start w:val="1"/>
      <w:numFmt w:val="lowerLetter"/>
      <w:lvlText w:val="%8."/>
      <w:lvlJc w:val="left"/>
      <w:pPr>
        <w:ind w:left="6125" w:hanging="360"/>
      </w:pPr>
    </w:lvl>
    <w:lvl w:ilvl="8" w:tplc="240A001B" w:tentative="1">
      <w:start w:val="1"/>
      <w:numFmt w:val="lowerRoman"/>
      <w:lvlText w:val="%9."/>
      <w:lvlJc w:val="right"/>
      <w:pPr>
        <w:ind w:left="6845" w:hanging="180"/>
      </w:pPr>
    </w:lvl>
  </w:abstractNum>
  <w:abstractNum w:abstractNumId="22" w15:restartNumberingAfterBreak="0">
    <w:nsid w:val="6B2E250C"/>
    <w:multiLevelType w:val="multilevel"/>
    <w:tmpl w:val="81E6F21A"/>
    <w:lvl w:ilvl="0">
      <w:start w:val="3"/>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0" w:hanging="108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3200" w:hanging="1440"/>
      </w:pPr>
      <w:rPr>
        <w:rFonts w:hint="default"/>
      </w:rPr>
    </w:lvl>
    <w:lvl w:ilvl="5">
      <w:start w:val="1"/>
      <w:numFmt w:val="decimal"/>
      <w:isLgl/>
      <w:lvlText w:val="%1.%2.%3.%4.%5.%6."/>
      <w:lvlJc w:val="left"/>
      <w:pPr>
        <w:ind w:left="3910" w:hanging="1800"/>
      </w:pPr>
      <w:rPr>
        <w:rFonts w:hint="default"/>
      </w:rPr>
    </w:lvl>
    <w:lvl w:ilvl="6">
      <w:start w:val="1"/>
      <w:numFmt w:val="decimal"/>
      <w:isLgl/>
      <w:lvlText w:val="%1.%2.%3.%4.%5.%6.%7."/>
      <w:lvlJc w:val="left"/>
      <w:pPr>
        <w:ind w:left="4620" w:hanging="2160"/>
      </w:pPr>
      <w:rPr>
        <w:rFonts w:hint="default"/>
      </w:rPr>
    </w:lvl>
    <w:lvl w:ilvl="7">
      <w:start w:val="1"/>
      <w:numFmt w:val="decimal"/>
      <w:isLgl/>
      <w:lvlText w:val="%1.%2.%3.%4.%5.%6.%7.%8."/>
      <w:lvlJc w:val="left"/>
      <w:pPr>
        <w:ind w:left="4970" w:hanging="2160"/>
      </w:pPr>
      <w:rPr>
        <w:rFonts w:hint="default"/>
      </w:rPr>
    </w:lvl>
    <w:lvl w:ilvl="8">
      <w:start w:val="1"/>
      <w:numFmt w:val="decimal"/>
      <w:isLgl/>
      <w:lvlText w:val="%1.%2.%3.%4.%5.%6.%7.%8.%9."/>
      <w:lvlJc w:val="left"/>
      <w:pPr>
        <w:ind w:left="5680" w:hanging="2520"/>
      </w:pPr>
      <w:rPr>
        <w:rFonts w:hint="default"/>
      </w:rPr>
    </w:lvl>
  </w:abstractNum>
  <w:abstractNum w:abstractNumId="23" w15:restartNumberingAfterBreak="0">
    <w:nsid w:val="706F106F"/>
    <w:multiLevelType w:val="hybridMultilevel"/>
    <w:tmpl w:val="48D80890"/>
    <w:lvl w:ilvl="0" w:tplc="FFFFFFFF">
      <w:start w:val="1"/>
      <w:numFmt w:val="decimal"/>
      <w:lvlText w:val="%1."/>
      <w:lvlJc w:val="left"/>
      <w:pPr>
        <w:ind w:left="720" w:hanging="360"/>
      </w:pPr>
      <w:rPr>
        <w:rFonts w:hint="default"/>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464281"/>
    <w:multiLevelType w:val="multilevel"/>
    <w:tmpl w:val="9DDEDD1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9"/>
  </w:num>
  <w:num w:numId="3">
    <w:abstractNumId w:val="15"/>
  </w:num>
  <w:num w:numId="4">
    <w:abstractNumId w:val="4"/>
  </w:num>
  <w:num w:numId="5">
    <w:abstractNumId w:val="2"/>
  </w:num>
  <w:num w:numId="6">
    <w:abstractNumId w:val="5"/>
  </w:num>
  <w:num w:numId="7">
    <w:abstractNumId w:val="8"/>
  </w:num>
  <w:num w:numId="8">
    <w:abstractNumId w:val="14"/>
  </w:num>
  <w:num w:numId="9">
    <w:abstractNumId w:val="1"/>
  </w:num>
  <w:num w:numId="10">
    <w:abstractNumId w:val="10"/>
  </w:num>
  <w:num w:numId="11">
    <w:abstractNumId w:val="24"/>
  </w:num>
  <w:num w:numId="12">
    <w:abstractNumId w:val="16"/>
  </w:num>
  <w:num w:numId="13">
    <w:abstractNumId w:val="12"/>
  </w:num>
  <w:num w:numId="14">
    <w:abstractNumId w:val="3"/>
  </w:num>
  <w:num w:numId="15">
    <w:abstractNumId w:val="19"/>
  </w:num>
  <w:num w:numId="16">
    <w:abstractNumId w:val="21"/>
  </w:num>
  <w:num w:numId="17">
    <w:abstractNumId w:val="3"/>
    <w:lvlOverride w:ilvl="0">
      <w:lvl w:ilvl="0">
        <w:start w:val="3"/>
        <w:numFmt w:val="decimal"/>
        <w:lvlText w:val="%1."/>
        <w:lvlJc w:val="left"/>
        <w:pPr>
          <w:ind w:left="720" w:hanging="363"/>
        </w:pPr>
        <w:rPr>
          <w:rFonts w:hint="default"/>
          <w:i w:val="0"/>
          <w:iCs/>
        </w:rPr>
      </w:lvl>
    </w:lvlOverride>
    <w:lvlOverride w:ilvl="1">
      <w:lvl w:ilvl="1">
        <w:start w:val="1"/>
        <w:numFmt w:val="none"/>
        <w:isLgl/>
        <w:lvlText w:val="15.1."/>
        <w:lvlJc w:val="left"/>
        <w:pPr>
          <w:ind w:left="720" w:hanging="720"/>
        </w:pPr>
        <w:rPr>
          <w:rFonts w:hint="default"/>
          <w:i w:val="0"/>
          <w:iCs/>
        </w:rPr>
      </w:lvl>
    </w:lvlOverride>
    <w:lvlOverride w:ilvl="2">
      <w:lvl w:ilvl="2">
        <w:start w:val="1"/>
        <w:numFmt w:val="decimal"/>
        <w:isLgl/>
        <w:lvlText w:val="%1.%2.%3."/>
        <w:lvlJc w:val="left"/>
        <w:pPr>
          <w:ind w:left="720" w:hanging="363"/>
        </w:pPr>
        <w:rPr>
          <w:rFonts w:hint="default"/>
        </w:rPr>
      </w:lvl>
    </w:lvlOverride>
    <w:lvlOverride w:ilvl="3">
      <w:lvl w:ilvl="3">
        <w:start w:val="1"/>
        <w:numFmt w:val="decimal"/>
        <w:isLgl/>
        <w:lvlText w:val="%1.%2.%3.%4."/>
        <w:lvlJc w:val="left"/>
        <w:pPr>
          <w:ind w:left="720" w:hanging="363"/>
        </w:pPr>
        <w:rPr>
          <w:rFonts w:hint="default"/>
        </w:rPr>
      </w:lvl>
    </w:lvlOverride>
    <w:lvlOverride w:ilvl="4">
      <w:lvl w:ilvl="4">
        <w:start w:val="1"/>
        <w:numFmt w:val="decimal"/>
        <w:isLgl/>
        <w:lvlText w:val="%1.%2.%3.%4.%5."/>
        <w:lvlJc w:val="left"/>
        <w:pPr>
          <w:ind w:left="720" w:hanging="363"/>
        </w:pPr>
        <w:rPr>
          <w:rFonts w:hint="default"/>
        </w:rPr>
      </w:lvl>
    </w:lvlOverride>
    <w:lvlOverride w:ilvl="5">
      <w:lvl w:ilvl="5">
        <w:start w:val="1"/>
        <w:numFmt w:val="decimal"/>
        <w:isLgl/>
        <w:lvlText w:val="%1.%2.%3.%4.%5.%6."/>
        <w:lvlJc w:val="left"/>
        <w:pPr>
          <w:ind w:left="720" w:hanging="363"/>
        </w:pPr>
        <w:rPr>
          <w:rFonts w:hint="default"/>
        </w:rPr>
      </w:lvl>
    </w:lvlOverride>
    <w:lvlOverride w:ilvl="6">
      <w:lvl w:ilvl="6">
        <w:start w:val="1"/>
        <w:numFmt w:val="decimal"/>
        <w:isLgl/>
        <w:lvlText w:val="%1.%2.%3.%4.%5.%6.%7."/>
        <w:lvlJc w:val="left"/>
        <w:pPr>
          <w:ind w:left="720" w:hanging="363"/>
        </w:pPr>
        <w:rPr>
          <w:rFonts w:hint="default"/>
        </w:rPr>
      </w:lvl>
    </w:lvlOverride>
    <w:lvlOverride w:ilvl="7">
      <w:lvl w:ilvl="7">
        <w:start w:val="1"/>
        <w:numFmt w:val="decimal"/>
        <w:isLgl/>
        <w:lvlText w:val="%1.%2.%3.%4.%5.%6.%7.%8."/>
        <w:lvlJc w:val="left"/>
        <w:pPr>
          <w:ind w:left="720" w:hanging="363"/>
        </w:pPr>
        <w:rPr>
          <w:rFonts w:hint="default"/>
        </w:rPr>
      </w:lvl>
    </w:lvlOverride>
    <w:lvlOverride w:ilvl="8">
      <w:lvl w:ilvl="8">
        <w:start w:val="1"/>
        <w:numFmt w:val="decimal"/>
        <w:isLgl/>
        <w:lvlText w:val="%1.%2.%3.%4.%5.%6.%7.%8.%9."/>
        <w:lvlJc w:val="left"/>
        <w:pPr>
          <w:ind w:left="720" w:hanging="363"/>
        </w:pPr>
        <w:rPr>
          <w:rFonts w:hint="default"/>
        </w:rPr>
      </w:lvl>
    </w:lvlOverride>
  </w:num>
  <w:num w:numId="18">
    <w:abstractNumId w:val="3"/>
    <w:lvlOverride w:ilvl="0">
      <w:lvl w:ilvl="0">
        <w:start w:val="3"/>
        <w:numFmt w:val="decimal"/>
        <w:lvlText w:val="%1."/>
        <w:lvlJc w:val="left"/>
        <w:pPr>
          <w:ind w:left="720" w:hanging="363"/>
        </w:pPr>
        <w:rPr>
          <w:rFonts w:hint="default"/>
          <w:i w:val="0"/>
          <w:iCs/>
        </w:rPr>
      </w:lvl>
    </w:lvlOverride>
    <w:lvlOverride w:ilvl="1">
      <w:lvl w:ilvl="1">
        <w:start w:val="1"/>
        <w:numFmt w:val="none"/>
        <w:isLgl/>
        <w:lvlText w:val="15.1."/>
        <w:lvlJc w:val="left"/>
        <w:pPr>
          <w:ind w:left="1429" w:hanging="720"/>
        </w:pPr>
        <w:rPr>
          <w:rFonts w:hint="default"/>
          <w:i w:val="0"/>
          <w:iCs/>
        </w:rPr>
      </w:lvl>
    </w:lvlOverride>
    <w:lvlOverride w:ilvl="2">
      <w:lvl w:ilvl="2">
        <w:start w:val="1"/>
        <w:numFmt w:val="decimal"/>
        <w:isLgl/>
        <w:lvlText w:val="%1.%2.%3."/>
        <w:lvlJc w:val="left"/>
        <w:pPr>
          <w:ind w:left="720" w:hanging="363"/>
        </w:pPr>
        <w:rPr>
          <w:rFonts w:hint="default"/>
        </w:rPr>
      </w:lvl>
    </w:lvlOverride>
    <w:lvlOverride w:ilvl="3">
      <w:lvl w:ilvl="3">
        <w:start w:val="1"/>
        <w:numFmt w:val="decimal"/>
        <w:isLgl/>
        <w:lvlText w:val="%1.%2.%3.%4."/>
        <w:lvlJc w:val="left"/>
        <w:pPr>
          <w:ind w:left="720" w:hanging="363"/>
        </w:pPr>
        <w:rPr>
          <w:rFonts w:hint="default"/>
        </w:rPr>
      </w:lvl>
    </w:lvlOverride>
    <w:lvlOverride w:ilvl="4">
      <w:lvl w:ilvl="4">
        <w:start w:val="1"/>
        <w:numFmt w:val="decimal"/>
        <w:isLgl/>
        <w:lvlText w:val="%1.%2.%3.%4.%5."/>
        <w:lvlJc w:val="left"/>
        <w:pPr>
          <w:ind w:left="720" w:hanging="363"/>
        </w:pPr>
        <w:rPr>
          <w:rFonts w:hint="default"/>
        </w:rPr>
      </w:lvl>
    </w:lvlOverride>
    <w:lvlOverride w:ilvl="5">
      <w:lvl w:ilvl="5">
        <w:start w:val="1"/>
        <w:numFmt w:val="decimal"/>
        <w:isLgl/>
        <w:lvlText w:val="%1.%2.%3.%4.%5.%6."/>
        <w:lvlJc w:val="left"/>
        <w:pPr>
          <w:ind w:left="720" w:hanging="363"/>
        </w:pPr>
        <w:rPr>
          <w:rFonts w:hint="default"/>
        </w:rPr>
      </w:lvl>
    </w:lvlOverride>
    <w:lvlOverride w:ilvl="6">
      <w:lvl w:ilvl="6">
        <w:start w:val="1"/>
        <w:numFmt w:val="decimal"/>
        <w:isLgl/>
        <w:lvlText w:val="%1.%2.%3.%4.%5.%6.%7."/>
        <w:lvlJc w:val="left"/>
        <w:pPr>
          <w:ind w:left="720" w:hanging="363"/>
        </w:pPr>
        <w:rPr>
          <w:rFonts w:hint="default"/>
        </w:rPr>
      </w:lvl>
    </w:lvlOverride>
    <w:lvlOverride w:ilvl="7">
      <w:lvl w:ilvl="7">
        <w:start w:val="1"/>
        <w:numFmt w:val="decimal"/>
        <w:isLgl/>
        <w:lvlText w:val="%1.%2.%3.%4.%5.%6.%7.%8."/>
        <w:lvlJc w:val="left"/>
        <w:pPr>
          <w:ind w:left="720" w:hanging="363"/>
        </w:pPr>
        <w:rPr>
          <w:rFonts w:hint="default"/>
        </w:rPr>
      </w:lvl>
    </w:lvlOverride>
    <w:lvlOverride w:ilvl="8">
      <w:lvl w:ilvl="8">
        <w:start w:val="1"/>
        <w:numFmt w:val="decimal"/>
        <w:isLgl/>
        <w:lvlText w:val="%1.%2.%3.%4.%5.%6.%7.%8.%9."/>
        <w:lvlJc w:val="left"/>
        <w:pPr>
          <w:ind w:left="720" w:hanging="363"/>
        </w:pPr>
        <w:rPr>
          <w:rFonts w:hint="default"/>
        </w:rPr>
      </w:lvl>
    </w:lvlOverride>
  </w:num>
  <w:num w:numId="19">
    <w:abstractNumId w:val="3"/>
    <w:lvlOverride w:ilvl="0">
      <w:lvl w:ilvl="0">
        <w:start w:val="3"/>
        <w:numFmt w:val="decimal"/>
        <w:lvlText w:val="%1."/>
        <w:lvlJc w:val="left"/>
        <w:pPr>
          <w:ind w:left="720" w:hanging="363"/>
        </w:pPr>
        <w:rPr>
          <w:rFonts w:hint="default"/>
          <w:i w:val="0"/>
          <w:iCs/>
        </w:rPr>
      </w:lvl>
    </w:lvlOverride>
    <w:lvlOverride w:ilvl="1">
      <w:lvl w:ilvl="1">
        <w:start w:val="1"/>
        <w:numFmt w:val="none"/>
        <w:isLgl/>
        <w:lvlText w:val="15.2."/>
        <w:lvlJc w:val="left"/>
        <w:pPr>
          <w:ind w:left="907" w:hanging="907"/>
        </w:pPr>
        <w:rPr>
          <w:rFonts w:hint="default"/>
          <w:i w:val="0"/>
          <w:iCs/>
        </w:rPr>
      </w:lvl>
    </w:lvlOverride>
    <w:lvlOverride w:ilvl="2">
      <w:lvl w:ilvl="2">
        <w:start w:val="1"/>
        <w:numFmt w:val="decimal"/>
        <w:isLgl/>
        <w:lvlText w:val="%1.%2.%3."/>
        <w:lvlJc w:val="left"/>
        <w:pPr>
          <w:ind w:left="720" w:hanging="363"/>
        </w:pPr>
        <w:rPr>
          <w:rFonts w:hint="default"/>
        </w:rPr>
      </w:lvl>
    </w:lvlOverride>
    <w:lvlOverride w:ilvl="3">
      <w:lvl w:ilvl="3">
        <w:start w:val="1"/>
        <w:numFmt w:val="decimal"/>
        <w:isLgl/>
        <w:lvlText w:val="%1.%2.%3.%4."/>
        <w:lvlJc w:val="left"/>
        <w:pPr>
          <w:ind w:left="720" w:hanging="363"/>
        </w:pPr>
        <w:rPr>
          <w:rFonts w:hint="default"/>
        </w:rPr>
      </w:lvl>
    </w:lvlOverride>
    <w:lvlOverride w:ilvl="4">
      <w:lvl w:ilvl="4">
        <w:start w:val="1"/>
        <w:numFmt w:val="decimal"/>
        <w:isLgl/>
        <w:lvlText w:val="%1.%2.%3.%4.%5."/>
        <w:lvlJc w:val="left"/>
        <w:pPr>
          <w:ind w:left="720" w:hanging="363"/>
        </w:pPr>
        <w:rPr>
          <w:rFonts w:hint="default"/>
        </w:rPr>
      </w:lvl>
    </w:lvlOverride>
    <w:lvlOverride w:ilvl="5">
      <w:lvl w:ilvl="5">
        <w:start w:val="1"/>
        <w:numFmt w:val="decimal"/>
        <w:isLgl/>
        <w:lvlText w:val="%1.%2.%3.%4.%5.%6."/>
        <w:lvlJc w:val="left"/>
        <w:pPr>
          <w:ind w:left="720" w:hanging="363"/>
        </w:pPr>
        <w:rPr>
          <w:rFonts w:hint="default"/>
        </w:rPr>
      </w:lvl>
    </w:lvlOverride>
    <w:lvlOverride w:ilvl="6">
      <w:lvl w:ilvl="6">
        <w:start w:val="1"/>
        <w:numFmt w:val="decimal"/>
        <w:isLgl/>
        <w:lvlText w:val="%1.%2.%3.%4.%5.%6.%7."/>
        <w:lvlJc w:val="left"/>
        <w:pPr>
          <w:ind w:left="720" w:hanging="363"/>
        </w:pPr>
        <w:rPr>
          <w:rFonts w:hint="default"/>
        </w:rPr>
      </w:lvl>
    </w:lvlOverride>
    <w:lvlOverride w:ilvl="7">
      <w:lvl w:ilvl="7">
        <w:start w:val="1"/>
        <w:numFmt w:val="decimal"/>
        <w:isLgl/>
        <w:lvlText w:val="%1.%2.%3.%4.%5.%6.%7.%8."/>
        <w:lvlJc w:val="left"/>
        <w:pPr>
          <w:ind w:left="720" w:hanging="363"/>
        </w:pPr>
        <w:rPr>
          <w:rFonts w:hint="default"/>
        </w:rPr>
      </w:lvl>
    </w:lvlOverride>
    <w:lvlOverride w:ilvl="8">
      <w:lvl w:ilvl="8">
        <w:start w:val="1"/>
        <w:numFmt w:val="decimal"/>
        <w:isLgl/>
        <w:lvlText w:val="%1.%2.%3.%4.%5.%6.%7.%8.%9."/>
        <w:lvlJc w:val="left"/>
        <w:pPr>
          <w:ind w:left="720" w:hanging="363"/>
        </w:pPr>
        <w:rPr>
          <w:rFonts w:hint="default"/>
        </w:rPr>
      </w:lvl>
    </w:lvlOverride>
  </w:num>
  <w:num w:numId="20">
    <w:abstractNumId w:val="13"/>
  </w:num>
  <w:num w:numId="21">
    <w:abstractNumId w:val="6"/>
  </w:num>
  <w:num w:numId="22">
    <w:abstractNumId w:val="23"/>
  </w:num>
  <w:num w:numId="23">
    <w:abstractNumId w:val="11"/>
  </w:num>
  <w:num w:numId="24">
    <w:abstractNumId w:val="17"/>
  </w:num>
  <w:num w:numId="25">
    <w:abstractNumId w:val="20"/>
  </w:num>
  <w:num w:numId="26">
    <w:abstractNumId w:val="22"/>
  </w:num>
  <w:num w:numId="27">
    <w:abstractNumId w:val="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B30"/>
    <w:rsid w:val="00000313"/>
    <w:rsid w:val="00002BC5"/>
    <w:rsid w:val="00003AB3"/>
    <w:rsid w:val="00004568"/>
    <w:rsid w:val="00004B5D"/>
    <w:rsid w:val="000057F5"/>
    <w:rsid w:val="00005E11"/>
    <w:rsid w:val="000061E7"/>
    <w:rsid w:val="0000636C"/>
    <w:rsid w:val="0000697B"/>
    <w:rsid w:val="00006A67"/>
    <w:rsid w:val="00011579"/>
    <w:rsid w:val="00012D74"/>
    <w:rsid w:val="000201FB"/>
    <w:rsid w:val="000226B8"/>
    <w:rsid w:val="00022C7D"/>
    <w:rsid w:val="00023B77"/>
    <w:rsid w:val="00024490"/>
    <w:rsid w:val="00025FC5"/>
    <w:rsid w:val="000273DE"/>
    <w:rsid w:val="0002773B"/>
    <w:rsid w:val="00027E1D"/>
    <w:rsid w:val="00037F13"/>
    <w:rsid w:val="000420E8"/>
    <w:rsid w:val="000439D8"/>
    <w:rsid w:val="000451EE"/>
    <w:rsid w:val="00046CD6"/>
    <w:rsid w:val="00051028"/>
    <w:rsid w:val="00054947"/>
    <w:rsid w:val="0005498D"/>
    <w:rsid w:val="0005607C"/>
    <w:rsid w:val="00056B26"/>
    <w:rsid w:val="00061348"/>
    <w:rsid w:val="00062588"/>
    <w:rsid w:val="000629CB"/>
    <w:rsid w:val="000645BB"/>
    <w:rsid w:val="00064DC3"/>
    <w:rsid w:val="000657F5"/>
    <w:rsid w:val="00065C70"/>
    <w:rsid w:val="0007009A"/>
    <w:rsid w:val="00070E65"/>
    <w:rsid w:val="00074252"/>
    <w:rsid w:val="00081DA6"/>
    <w:rsid w:val="00083773"/>
    <w:rsid w:val="00084355"/>
    <w:rsid w:val="00084396"/>
    <w:rsid w:val="00085293"/>
    <w:rsid w:val="00085851"/>
    <w:rsid w:val="00087070"/>
    <w:rsid w:val="000908C2"/>
    <w:rsid w:val="000946DD"/>
    <w:rsid w:val="00094E7E"/>
    <w:rsid w:val="00095855"/>
    <w:rsid w:val="00096C90"/>
    <w:rsid w:val="000A014B"/>
    <w:rsid w:val="000A0F74"/>
    <w:rsid w:val="000A163D"/>
    <w:rsid w:val="000A16D9"/>
    <w:rsid w:val="000A2974"/>
    <w:rsid w:val="000A38B8"/>
    <w:rsid w:val="000A5953"/>
    <w:rsid w:val="000A6641"/>
    <w:rsid w:val="000A6D34"/>
    <w:rsid w:val="000B28C1"/>
    <w:rsid w:val="000B36E9"/>
    <w:rsid w:val="000B46EF"/>
    <w:rsid w:val="000B4AED"/>
    <w:rsid w:val="000C071D"/>
    <w:rsid w:val="000C11F8"/>
    <w:rsid w:val="000C4895"/>
    <w:rsid w:val="000C548F"/>
    <w:rsid w:val="000D06A4"/>
    <w:rsid w:val="000D14C6"/>
    <w:rsid w:val="000D3B72"/>
    <w:rsid w:val="000D4A60"/>
    <w:rsid w:val="000D5041"/>
    <w:rsid w:val="000E13F2"/>
    <w:rsid w:val="000E6668"/>
    <w:rsid w:val="000E6F1A"/>
    <w:rsid w:val="000F379B"/>
    <w:rsid w:val="000F5921"/>
    <w:rsid w:val="000F7003"/>
    <w:rsid w:val="000F7B29"/>
    <w:rsid w:val="001003B5"/>
    <w:rsid w:val="00102409"/>
    <w:rsid w:val="00103AA1"/>
    <w:rsid w:val="00104915"/>
    <w:rsid w:val="0010720D"/>
    <w:rsid w:val="001076EF"/>
    <w:rsid w:val="00107DF9"/>
    <w:rsid w:val="001118C0"/>
    <w:rsid w:val="001141F0"/>
    <w:rsid w:val="001155ED"/>
    <w:rsid w:val="00115AA9"/>
    <w:rsid w:val="001161E2"/>
    <w:rsid w:val="00116B8C"/>
    <w:rsid w:val="0012357E"/>
    <w:rsid w:val="00123691"/>
    <w:rsid w:val="00124238"/>
    <w:rsid w:val="00126606"/>
    <w:rsid w:val="00127A08"/>
    <w:rsid w:val="00131459"/>
    <w:rsid w:val="0013385F"/>
    <w:rsid w:val="001358E0"/>
    <w:rsid w:val="00136E44"/>
    <w:rsid w:val="001376EC"/>
    <w:rsid w:val="00137E70"/>
    <w:rsid w:val="0014312A"/>
    <w:rsid w:val="0014590E"/>
    <w:rsid w:val="00145BDE"/>
    <w:rsid w:val="00145FE5"/>
    <w:rsid w:val="00146164"/>
    <w:rsid w:val="00151DD7"/>
    <w:rsid w:val="00153143"/>
    <w:rsid w:val="001541F7"/>
    <w:rsid w:val="001600F8"/>
    <w:rsid w:val="001609E8"/>
    <w:rsid w:val="00165434"/>
    <w:rsid w:val="00166848"/>
    <w:rsid w:val="00166ABA"/>
    <w:rsid w:val="00167047"/>
    <w:rsid w:val="00167488"/>
    <w:rsid w:val="00167A2C"/>
    <w:rsid w:val="001714A9"/>
    <w:rsid w:val="001719D8"/>
    <w:rsid w:val="001734A3"/>
    <w:rsid w:val="00175710"/>
    <w:rsid w:val="001758CE"/>
    <w:rsid w:val="00177EE0"/>
    <w:rsid w:val="0018222E"/>
    <w:rsid w:val="001826E3"/>
    <w:rsid w:val="00184778"/>
    <w:rsid w:val="0018787E"/>
    <w:rsid w:val="001903C9"/>
    <w:rsid w:val="00190452"/>
    <w:rsid w:val="00190B07"/>
    <w:rsid w:val="0019174A"/>
    <w:rsid w:val="00191C38"/>
    <w:rsid w:val="00195D75"/>
    <w:rsid w:val="0019624E"/>
    <w:rsid w:val="001A03B9"/>
    <w:rsid w:val="001A13B0"/>
    <w:rsid w:val="001A52F3"/>
    <w:rsid w:val="001B0B9B"/>
    <w:rsid w:val="001B0B9F"/>
    <w:rsid w:val="001B0D35"/>
    <w:rsid w:val="001B17B8"/>
    <w:rsid w:val="001B1A5E"/>
    <w:rsid w:val="001B2746"/>
    <w:rsid w:val="001B3183"/>
    <w:rsid w:val="001B31F0"/>
    <w:rsid w:val="001B762A"/>
    <w:rsid w:val="001C0160"/>
    <w:rsid w:val="001C0524"/>
    <w:rsid w:val="001C0F86"/>
    <w:rsid w:val="001C3F01"/>
    <w:rsid w:val="001C5E5F"/>
    <w:rsid w:val="001C6CA0"/>
    <w:rsid w:val="001C72B5"/>
    <w:rsid w:val="001D06B3"/>
    <w:rsid w:val="001D1E96"/>
    <w:rsid w:val="001D24B2"/>
    <w:rsid w:val="001D24FF"/>
    <w:rsid w:val="001D482D"/>
    <w:rsid w:val="001D5366"/>
    <w:rsid w:val="001D69D0"/>
    <w:rsid w:val="001E0045"/>
    <w:rsid w:val="001E1ED1"/>
    <w:rsid w:val="001E3802"/>
    <w:rsid w:val="001E39D2"/>
    <w:rsid w:val="001E4FCA"/>
    <w:rsid w:val="001E5BC5"/>
    <w:rsid w:val="001E6F9B"/>
    <w:rsid w:val="001F198D"/>
    <w:rsid w:val="001F3E15"/>
    <w:rsid w:val="001F5C07"/>
    <w:rsid w:val="002000B9"/>
    <w:rsid w:val="002001EB"/>
    <w:rsid w:val="00202AD3"/>
    <w:rsid w:val="00204EF2"/>
    <w:rsid w:val="002053A1"/>
    <w:rsid w:val="002103FC"/>
    <w:rsid w:val="00210840"/>
    <w:rsid w:val="002113AB"/>
    <w:rsid w:val="00211C49"/>
    <w:rsid w:val="00214308"/>
    <w:rsid w:val="002161F8"/>
    <w:rsid w:val="0021620E"/>
    <w:rsid w:val="00217D35"/>
    <w:rsid w:val="00221FB4"/>
    <w:rsid w:val="0022211D"/>
    <w:rsid w:val="002228D1"/>
    <w:rsid w:val="00222B5B"/>
    <w:rsid w:val="002247D7"/>
    <w:rsid w:val="00224AF0"/>
    <w:rsid w:val="00224E9E"/>
    <w:rsid w:val="00226FA5"/>
    <w:rsid w:val="002276B7"/>
    <w:rsid w:val="0023366B"/>
    <w:rsid w:val="002339AE"/>
    <w:rsid w:val="00233A7E"/>
    <w:rsid w:val="002340D1"/>
    <w:rsid w:val="00234E59"/>
    <w:rsid w:val="0023575A"/>
    <w:rsid w:val="002378FE"/>
    <w:rsid w:val="00240DF4"/>
    <w:rsid w:val="00242AD6"/>
    <w:rsid w:val="00242C4B"/>
    <w:rsid w:val="002447DF"/>
    <w:rsid w:val="002455F2"/>
    <w:rsid w:val="0024649B"/>
    <w:rsid w:val="002465CF"/>
    <w:rsid w:val="00246D92"/>
    <w:rsid w:val="00247D42"/>
    <w:rsid w:val="00247F57"/>
    <w:rsid w:val="00250CC6"/>
    <w:rsid w:val="0025330E"/>
    <w:rsid w:val="00256605"/>
    <w:rsid w:val="00257E9B"/>
    <w:rsid w:val="0026039B"/>
    <w:rsid w:val="00261BF2"/>
    <w:rsid w:val="00263F08"/>
    <w:rsid w:val="00270D34"/>
    <w:rsid w:val="00271418"/>
    <w:rsid w:val="00271E2E"/>
    <w:rsid w:val="00272539"/>
    <w:rsid w:val="0027402D"/>
    <w:rsid w:val="00275374"/>
    <w:rsid w:val="00277EDD"/>
    <w:rsid w:val="00281D93"/>
    <w:rsid w:val="00281F6A"/>
    <w:rsid w:val="00282140"/>
    <w:rsid w:val="002822CD"/>
    <w:rsid w:val="00284878"/>
    <w:rsid w:val="00286597"/>
    <w:rsid w:val="002871D2"/>
    <w:rsid w:val="00287898"/>
    <w:rsid w:val="00287A9E"/>
    <w:rsid w:val="002921D1"/>
    <w:rsid w:val="0029326E"/>
    <w:rsid w:val="00294728"/>
    <w:rsid w:val="0029661D"/>
    <w:rsid w:val="002A0B6F"/>
    <w:rsid w:val="002A1D87"/>
    <w:rsid w:val="002A7FEA"/>
    <w:rsid w:val="002B011A"/>
    <w:rsid w:val="002B05AB"/>
    <w:rsid w:val="002B33EB"/>
    <w:rsid w:val="002B6DFA"/>
    <w:rsid w:val="002B70D4"/>
    <w:rsid w:val="002B721A"/>
    <w:rsid w:val="002B7978"/>
    <w:rsid w:val="002C018C"/>
    <w:rsid w:val="002C13B6"/>
    <w:rsid w:val="002C1927"/>
    <w:rsid w:val="002C42A0"/>
    <w:rsid w:val="002C4A29"/>
    <w:rsid w:val="002C4A93"/>
    <w:rsid w:val="002C5354"/>
    <w:rsid w:val="002D04C7"/>
    <w:rsid w:val="002D06A1"/>
    <w:rsid w:val="002D241B"/>
    <w:rsid w:val="002D4D52"/>
    <w:rsid w:val="002D5D8A"/>
    <w:rsid w:val="002D7F13"/>
    <w:rsid w:val="002E09B8"/>
    <w:rsid w:val="002E3D75"/>
    <w:rsid w:val="002E5CCE"/>
    <w:rsid w:val="002E691D"/>
    <w:rsid w:val="002E698D"/>
    <w:rsid w:val="002F0DFA"/>
    <w:rsid w:val="002F14E3"/>
    <w:rsid w:val="002F439F"/>
    <w:rsid w:val="002F450C"/>
    <w:rsid w:val="002F51E6"/>
    <w:rsid w:val="002F7FA8"/>
    <w:rsid w:val="00301F88"/>
    <w:rsid w:val="0030373E"/>
    <w:rsid w:val="0030449A"/>
    <w:rsid w:val="00304B34"/>
    <w:rsid w:val="0030531B"/>
    <w:rsid w:val="003107FF"/>
    <w:rsid w:val="0031365D"/>
    <w:rsid w:val="00314A25"/>
    <w:rsid w:val="003162F4"/>
    <w:rsid w:val="00316CD1"/>
    <w:rsid w:val="003278B6"/>
    <w:rsid w:val="00331D79"/>
    <w:rsid w:val="00333A35"/>
    <w:rsid w:val="00334440"/>
    <w:rsid w:val="003349E7"/>
    <w:rsid w:val="003363B7"/>
    <w:rsid w:val="003408BC"/>
    <w:rsid w:val="00340E86"/>
    <w:rsid w:val="003433FE"/>
    <w:rsid w:val="003478BB"/>
    <w:rsid w:val="00347ABC"/>
    <w:rsid w:val="003503E4"/>
    <w:rsid w:val="0035090C"/>
    <w:rsid w:val="00352D4B"/>
    <w:rsid w:val="003540E8"/>
    <w:rsid w:val="003624E5"/>
    <w:rsid w:val="00362AFB"/>
    <w:rsid w:val="0036455F"/>
    <w:rsid w:val="00365B6B"/>
    <w:rsid w:val="00371F77"/>
    <w:rsid w:val="00376A99"/>
    <w:rsid w:val="003772B3"/>
    <w:rsid w:val="0038072F"/>
    <w:rsid w:val="00381201"/>
    <w:rsid w:val="003826D8"/>
    <w:rsid w:val="0038314D"/>
    <w:rsid w:val="003840FE"/>
    <w:rsid w:val="0038493C"/>
    <w:rsid w:val="00384BA9"/>
    <w:rsid w:val="00384CDE"/>
    <w:rsid w:val="00385858"/>
    <w:rsid w:val="00393BB6"/>
    <w:rsid w:val="00397AFB"/>
    <w:rsid w:val="003A0DDF"/>
    <w:rsid w:val="003A2E06"/>
    <w:rsid w:val="003A53FE"/>
    <w:rsid w:val="003A6FC6"/>
    <w:rsid w:val="003B0943"/>
    <w:rsid w:val="003B0C32"/>
    <w:rsid w:val="003B2058"/>
    <w:rsid w:val="003B4307"/>
    <w:rsid w:val="003B5350"/>
    <w:rsid w:val="003B6B88"/>
    <w:rsid w:val="003B7861"/>
    <w:rsid w:val="003C06E6"/>
    <w:rsid w:val="003C3AF4"/>
    <w:rsid w:val="003C4E7B"/>
    <w:rsid w:val="003C6E86"/>
    <w:rsid w:val="003C7A7C"/>
    <w:rsid w:val="003D30EC"/>
    <w:rsid w:val="003D5077"/>
    <w:rsid w:val="003E33CB"/>
    <w:rsid w:val="003F0751"/>
    <w:rsid w:val="003F3812"/>
    <w:rsid w:val="003F6AF1"/>
    <w:rsid w:val="004027F4"/>
    <w:rsid w:val="00404626"/>
    <w:rsid w:val="00410770"/>
    <w:rsid w:val="00420977"/>
    <w:rsid w:val="004236EB"/>
    <w:rsid w:val="00424069"/>
    <w:rsid w:val="0042629E"/>
    <w:rsid w:val="00426820"/>
    <w:rsid w:val="004268EE"/>
    <w:rsid w:val="00426E2D"/>
    <w:rsid w:val="00426E59"/>
    <w:rsid w:val="004305E3"/>
    <w:rsid w:val="0043244E"/>
    <w:rsid w:val="004335EA"/>
    <w:rsid w:val="0043471F"/>
    <w:rsid w:val="0043519E"/>
    <w:rsid w:val="00436129"/>
    <w:rsid w:val="00436335"/>
    <w:rsid w:val="00436B0C"/>
    <w:rsid w:val="00440D26"/>
    <w:rsid w:val="00440FB1"/>
    <w:rsid w:val="0044490F"/>
    <w:rsid w:val="00447595"/>
    <w:rsid w:val="004477B2"/>
    <w:rsid w:val="00450256"/>
    <w:rsid w:val="00450704"/>
    <w:rsid w:val="0045273E"/>
    <w:rsid w:val="00452874"/>
    <w:rsid w:val="00454364"/>
    <w:rsid w:val="00454867"/>
    <w:rsid w:val="0045539A"/>
    <w:rsid w:val="00456059"/>
    <w:rsid w:val="00456D7E"/>
    <w:rsid w:val="00457640"/>
    <w:rsid w:val="00462AEF"/>
    <w:rsid w:val="00465D59"/>
    <w:rsid w:val="004668B4"/>
    <w:rsid w:val="004669E9"/>
    <w:rsid w:val="00466E35"/>
    <w:rsid w:val="0046F152"/>
    <w:rsid w:val="004701C0"/>
    <w:rsid w:val="00471CF9"/>
    <w:rsid w:val="00471D5A"/>
    <w:rsid w:val="00473542"/>
    <w:rsid w:val="00474093"/>
    <w:rsid w:val="00474475"/>
    <w:rsid w:val="00474488"/>
    <w:rsid w:val="0047702E"/>
    <w:rsid w:val="00477FF5"/>
    <w:rsid w:val="00481D79"/>
    <w:rsid w:val="0048292A"/>
    <w:rsid w:val="0048359D"/>
    <w:rsid w:val="00483F62"/>
    <w:rsid w:val="00484C3F"/>
    <w:rsid w:val="004865B7"/>
    <w:rsid w:val="00486704"/>
    <w:rsid w:val="00487EC4"/>
    <w:rsid w:val="00492A7E"/>
    <w:rsid w:val="00492C35"/>
    <w:rsid w:val="004930EB"/>
    <w:rsid w:val="00494353"/>
    <w:rsid w:val="00495CD9"/>
    <w:rsid w:val="00497E9E"/>
    <w:rsid w:val="004A48FC"/>
    <w:rsid w:val="004A5B71"/>
    <w:rsid w:val="004A74B5"/>
    <w:rsid w:val="004A76C0"/>
    <w:rsid w:val="004B252A"/>
    <w:rsid w:val="004B282A"/>
    <w:rsid w:val="004B432E"/>
    <w:rsid w:val="004B5CCA"/>
    <w:rsid w:val="004C24AB"/>
    <w:rsid w:val="004C2941"/>
    <w:rsid w:val="004C47C6"/>
    <w:rsid w:val="004C55CD"/>
    <w:rsid w:val="004D230F"/>
    <w:rsid w:val="004E0A09"/>
    <w:rsid w:val="004E0F21"/>
    <w:rsid w:val="004E245A"/>
    <w:rsid w:val="004E24E9"/>
    <w:rsid w:val="004E2979"/>
    <w:rsid w:val="004E3EA3"/>
    <w:rsid w:val="004E4F48"/>
    <w:rsid w:val="004E5452"/>
    <w:rsid w:val="004E6092"/>
    <w:rsid w:val="004F299A"/>
    <w:rsid w:val="004F2BAA"/>
    <w:rsid w:val="004F3595"/>
    <w:rsid w:val="004F6C95"/>
    <w:rsid w:val="004F7392"/>
    <w:rsid w:val="004F7E5A"/>
    <w:rsid w:val="0050013A"/>
    <w:rsid w:val="00500FDE"/>
    <w:rsid w:val="005029EE"/>
    <w:rsid w:val="0050368B"/>
    <w:rsid w:val="00503DE5"/>
    <w:rsid w:val="0050477C"/>
    <w:rsid w:val="005067E6"/>
    <w:rsid w:val="005068FD"/>
    <w:rsid w:val="005157E1"/>
    <w:rsid w:val="00522881"/>
    <w:rsid w:val="0052346B"/>
    <w:rsid w:val="00523929"/>
    <w:rsid w:val="00524699"/>
    <w:rsid w:val="00524FF2"/>
    <w:rsid w:val="00526D24"/>
    <w:rsid w:val="0053269A"/>
    <w:rsid w:val="00532F21"/>
    <w:rsid w:val="00540EE4"/>
    <w:rsid w:val="0054129B"/>
    <w:rsid w:val="005435C5"/>
    <w:rsid w:val="00544A81"/>
    <w:rsid w:val="00545F87"/>
    <w:rsid w:val="005465A5"/>
    <w:rsid w:val="00546837"/>
    <w:rsid w:val="00547774"/>
    <w:rsid w:val="0054795C"/>
    <w:rsid w:val="0055020B"/>
    <w:rsid w:val="00551D90"/>
    <w:rsid w:val="00553CDA"/>
    <w:rsid w:val="00555D05"/>
    <w:rsid w:val="00557726"/>
    <w:rsid w:val="00561337"/>
    <w:rsid w:val="00561A56"/>
    <w:rsid w:val="00561EB6"/>
    <w:rsid w:val="00563704"/>
    <w:rsid w:val="005736EA"/>
    <w:rsid w:val="00575E29"/>
    <w:rsid w:val="0057715E"/>
    <w:rsid w:val="00577A78"/>
    <w:rsid w:val="00581418"/>
    <w:rsid w:val="00581B72"/>
    <w:rsid w:val="00582159"/>
    <w:rsid w:val="00583281"/>
    <w:rsid w:val="005834A6"/>
    <w:rsid w:val="0058551B"/>
    <w:rsid w:val="00586F19"/>
    <w:rsid w:val="00587640"/>
    <w:rsid w:val="0059004B"/>
    <w:rsid w:val="0059104B"/>
    <w:rsid w:val="0059276E"/>
    <w:rsid w:val="00592884"/>
    <w:rsid w:val="00594592"/>
    <w:rsid w:val="005A164B"/>
    <w:rsid w:val="005A2243"/>
    <w:rsid w:val="005A2847"/>
    <w:rsid w:val="005A3308"/>
    <w:rsid w:val="005A53B3"/>
    <w:rsid w:val="005B04A7"/>
    <w:rsid w:val="005B167B"/>
    <w:rsid w:val="005B3FA0"/>
    <w:rsid w:val="005B5FB3"/>
    <w:rsid w:val="005C4831"/>
    <w:rsid w:val="005C49E4"/>
    <w:rsid w:val="005C6CB0"/>
    <w:rsid w:val="005D2C42"/>
    <w:rsid w:val="005D3802"/>
    <w:rsid w:val="005D4F48"/>
    <w:rsid w:val="005D52BC"/>
    <w:rsid w:val="005D7225"/>
    <w:rsid w:val="005E38CA"/>
    <w:rsid w:val="005E48F3"/>
    <w:rsid w:val="005E517F"/>
    <w:rsid w:val="005E5AFB"/>
    <w:rsid w:val="005E7BDD"/>
    <w:rsid w:val="005F5804"/>
    <w:rsid w:val="005F662F"/>
    <w:rsid w:val="00601918"/>
    <w:rsid w:val="00602107"/>
    <w:rsid w:val="00603A5B"/>
    <w:rsid w:val="00605728"/>
    <w:rsid w:val="00607B32"/>
    <w:rsid w:val="006105F6"/>
    <w:rsid w:val="00610C4A"/>
    <w:rsid w:val="00612413"/>
    <w:rsid w:val="0061455F"/>
    <w:rsid w:val="00615ABC"/>
    <w:rsid w:val="00617F7F"/>
    <w:rsid w:val="006240B1"/>
    <w:rsid w:val="006242B0"/>
    <w:rsid w:val="00624E74"/>
    <w:rsid w:val="006255CE"/>
    <w:rsid w:val="00627A0F"/>
    <w:rsid w:val="00627CEA"/>
    <w:rsid w:val="006300C3"/>
    <w:rsid w:val="006323AF"/>
    <w:rsid w:val="00632BDD"/>
    <w:rsid w:val="00632C3C"/>
    <w:rsid w:val="00643012"/>
    <w:rsid w:val="00643C13"/>
    <w:rsid w:val="00643FAD"/>
    <w:rsid w:val="00644819"/>
    <w:rsid w:val="00646234"/>
    <w:rsid w:val="00646942"/>
    <w:rsid w:val="006517BE"/>
    <w:rsid w:val="006520E9"/>
    <w:rsid w:val="00652800"/>
    <w:rsid w:val="00652F53"/>
    <w:rsid w:val="00654A48"/>
    <w:rsid w:val="006575A5"/>
    <w:rsid w:val="0065764C"/>
    <w:rsid w:val="00657EA0"/>
    <w:rsid w:val="00657FF9"/>
    <w:rsid w:val="006600A4"/>
    <w:rsid w:val="00661512"/>
    <w:rsid w:val="0066185E"/>
    <w:rsid w:val="0066212A"/>
    <w:rsid w:val="00663758"/>
    <w:rsid w:val="006639B1"/>
    <w:rsid w:val="006674AD"/>
    <w:rsid w:val="00671AB5"/>
    <w:rsid w:val="00672312"/>
    <w:rsid w:val="00672F2F"/>
    <w:rsid w:val="00673C57"/>
    <w:rsid w:val="006779D5"/>
    <w:rsid w:val="00680ED8"/>
    <w:rsid w:val="00685681"/>
    <w:rsid w:val="00687D71"/>
    <w:rsid w:val="00690CA7"/>
    <w:rsid w:val="00692BAC"/>
    <w:rsid w:val="00693043"/>
    <w:rsid w:val="006935B4"/>
    <w:rsid w:val="0069462C"/>
    <w:rsid w:val="006957C2"/>
    <w:rsid w:val="00696167"/>
    <w:rsid w:val="006965D3"/>
    <w:rsid w:val="00696FCA"/>
    <w:rsid w:val="006A121D"/>
    <w:rsid w:val="006A159C"/>
    <w:rsid w:val="006A2190"/>
    <w:rsid w:val="006A3394"/>
    <w:rsid w:val="006A3F3A"/>
    <w:rsid w:val="006B2B43"/>
    <w:rsid w:val="006B40AA"/>
    <w:rsid w:val="006B45C6"/>
    <w:rsid w:val="006B4C3B"/>
    <w:rsid w:val="006C0F3D"/>
    <w:rsid w:val="006C18FB"/>
    <w:rsid w:val="006C2223"/>
    <w:rsid w:val="006C32A9"/>
    <w:rsid w:val="006C3D06"/>
    <w:rsid w:val="006C5221"/>
    <w:rsid w:val="006C6922"/>
    <w:rsid w:val="006C70C7"/>
    <w:rsid w:val="006C771F"/>
    <w:rsid w:val="006C7C58"/>
    <w:rsid w:val="006D1243"/>
    <w:rsid w:val="006D2C5F"/>
    <w:rsid w:val="006D384D"/>
    <w:rsid w:val="006D489D"/>
    <w:rsid w:val="006E23FF"/>
    <w:rsid w:val="006E2F80"/>
    <w:rsid w:val="006E626F"/>
    <w:rsid w:val="006E71A3"/>
    <w:rsid w:val="006F338D"/>
    <w:rsid w:val="006F3A33"/>
    <w:rsid w:val="006F3EDC"/>
    <w:rsid w:val="006F4FB6"/>
    <w:rsid w:val="006F634A"/>
    <w:rsid w:val="006F6456"/>
    <w:rsid w:val="0070250C"/>
    <w:rsid w:val="007046CC"/>
    <w:rsid w:val="00704C90"/>
    <w:rsid w:val="007056C3"/>
    <w:rsid w:val="00706FE5"/>
    <w:rsid w:val="00710693"/>
    <w:rsid w:val="007108D9"/>
    <w:rsid w:val="00712A9B"/>
    <w:rsid w:val="00713042"/>
    <w:rsid w:val="00713BD3"/>
    <w:rsid w:val="0071486A"/>
    <w:rsid w:val="007171BE"/>
    <w:rsid w:val="00717477"/>
    <w:rsid w:val="00717478"/>
    <w:rsid w:val="0072097A"/>
    <w:rsid w:val="00720D7D"/>
    <w:rsid w:val="00724CD3"/>
    <w:rsid w:val="007269B3"/>
    <w:rsid w:val="00731C9E"/>
    <w:rsid w:val="00732355"/>
    <w:rsid w:val="0073358E"/>
    <w:rsid w:val="00736A83"/>
    <w:rsid w:val="00737971"/>
    <w:rsid w:val="007408E8"/>
    <w:rsid w:val="00740C73"/>
    <w:rsid w:val="00745344"/>
    <w:rsid w:val="007507A1"/>
    <w:rsid w:val="007514CE"/>
    <w:rsid w:val="0075376B"/>
    <w:rsid w:val="00755E87"/>
    <w:rsid w:val="0075699E"/>
    <w:rsid w:val="007578F9"/>
    <w:rsid w:val="00762490"/>
    <w:rsid w:val="00763579"/>
    <w:rsid w:val="00763F86"/>
    <w:rsid w:val="00765720"/>
    <w:rsid w:val="00766E9B"/>
    <w:rsid w:val="007676F5"/>
    <w:rsid w:val="007705F9"/>
    <w:rsid w:val="00770714"/>
    <w:rsid w:val="00770908"/>
    <w:rsid w:val="007743E1"/>
    <w:rsid w:val="00775CB3"/>
    <w:rsid w:val="00775E0E"/>
    <w:rsid w:val="007769B2"/>
    <w:rsid w:val="00777030"/>
    <w:rsid w:val="00781ADD"/>
    <w:rsid w:val="007838A4"/>
    <w:rsid w:val="007842C0"/>
    <w:rsid w:val="00787626"/>
    <w:rsid w:val="0079193F"/>
    <w:rsid w:val="007963EB"/>
    <w:rsid w:val="007966CA"/>
    <w:rsid w:val="0079739C"/>
    <w:rsid w:val="007A55CB"/>
    <w:rsid w:val="007A7A5D"/>
    <w:rsid w:val="007B263F"/>
    <w:rsid w:val="007B4365"/>
    <w:rsid w:val="007B4894"/>
    <w:rsid w:val="007B5671"/>
    <w:rsid w:val="007B6351"/>
    <w:rsid w:val="007C05C5"/>
    <w:rsid w:val="007C0FFE"/>
    <w:rsid w:val="007C2FF8"/>
    <w:rsid w:val="007C32CC"/>
    <w:rsid w:val="007C4A2E"/>
    <w:rsid w:val="007C6370"/>
    <w:rsid w:val="007C6561"/>
    <w:rsid w:val="007D445B"/>
    <w:rsid w:val="007D6093"/>
    <w:rsid w:val="007D6F08"/>
    <w:rsid w:val="007D79C3"/>
    <w:rsid w:val="007D7E39"/>
    <w:rsid w:val="007E2AC5"/>
    <w:rsid w:val="007E2C21"/>
    <w:rsid w:val="007E4DFA"/>
    <w:rsid w:val="007E5897"/>
    <w:rsid w:val="007E6D8D"/>
    <w:rsid w:val="007F0392"/>
    <w:rsid w:val="007F0489"/>
    <w:rsid w:val="007F27D4"/>
    <w:rsid w:val="007F4172"/>
    <w:rsid w:val="007F5598"/>
    <w:rsid w:val="007F7347"/>
    <w:rsid w:val="007F7DCB"/>
    <w:rsid w:val="008029B4"/>
    <w:rsid w:val="00802D73"/>
    <w:rsid w:val="0080469A"/>
    <w:rsid w:val="008066DB"/>
    <w:rsid w:val="00807114"/>
    <w:rsid w:val="008077A3"/>
    <w:rsid w:val="00812774"/>
    <w:rsid w:val="00812834"/>
    <w:rsid w:val="00816F7C"/>
    <w:rsid w:val="00822EA5"/>
    <w:rsid w:val="0082372A"/>
    <w:rsid w:val="0082489A"/>
    <w:rsid w:val="00832082"/>
    <w:rsid w:val="0083210A"/>
    <w:rsid w:val="0083454B"/>
    <w:rsid w:val="0083681C"/>
    <w:rsid w:val="00840438"/>
    <w:rsid w:val="00840C42"/>
    <w:rsid w:val="00841EF7"/>
    <w:rsid w:val="00845322"/>
    <w:rsid w:val="0084658C"/>
    <w:rsid w:val="008547A4"/>
    <w:rsid w:val="00854AE1"/>
    <w:rsid w:val="00855D0F"/>
    <w:rsid w:val="00855E95"/>
    <w:rsid w:val="0086336E"/>
    <w:rsid w:val="0086342E"/>
    <w:rsid w:val="00864D71"/>
    <w:rsid w:val="008653A6"/>
    <w:rsid w:val="00866534"/>
    <w:rsid w:val="00870280"/>
    <w:rsid w:val="00871782"/>
    <w:rsid w:val="00871F4E"/>
    <w:rsid w:val="00873C20"/>
    <w:rsid w:val="00875015"/>
    <w:rsid w:val="00875C9F"/>
    <w:rsid w:val="00876B2D"/>
    <w:rsid w:val="0087735E"/>
    <w:rsid w:val="00884BE0"/>
    <w:rsid w:val="00887226"/>
    <w:rsid w:val="008907C8"/>
    <w:rsid w:val="00893334"/>
    <w:rsid w:val="008942A7"/>
    <w:rsid w:val="008943B6"/>
    <w:rsid w:val="008950D1"/>
    <w:rsid w:val="00895E84"/>
    <w:rsid w:val="00897EA9"/>
    <w:rsid w:val="008A0970"/>
    <w:rsid w:val="008A1469"/>
    <w:rsid w:val="008A602E"/>
    <w:rsid w:val="008B7A52"/>
    <w:rsid w:val="008C2E7F"/>
    <w:rsid w:val="008C2EE7"/>
    <w:rsid w:val="008C3798"/>
    <w:rsid w:val="008C46EC"/>
    <w:rsid w:val="008C5AC1"/>
    <w:rsid w:val="008C5B3F"/>
    <w:rsid w:val="008D100B"/>
    <w:rsid w:val="008D1EE2"/>
    <w:rsid w:val="008D2331"/>
    <w:rsid w:val="008D2899"/>
    <w:rsid w:val="008D376E"/>
    <w:rsid w:val="008D50C4"/>
    <w:rsid w:val="008D5501"/>
    <w:rsid w:val="008E0258"/>
    <w:rsid w:val="008E4F31"/>
    <w:rsid w:val="008F0C1D"/>
    <w:rsid w:val="008F0CBB"/>
    <w:rsid w:val="008F17EB"/>
    <w:rsid w:val="008F22AD"/>
    <w:rsid w:val="008F2D94"/>
    <w:rsid w:val="0090124A"/>
    <w:rsid w:val="00903000"/>
    <w:rsid w:val="0090512F"/>
    <w:rsid w:val="009058EB"/>
    <w:rsid w:val="0091120B"/>
    <w:rsid w:val="00911796"/>
    <w:rsid w:val="00915BEE"/>
    <w:rsid w:val="009171DA"/>
    <w:rsid w:val="00920970"/>
    <w:rsid w:val="0092284A"/>
    <w:rsid w:val="009239FA"/>
    <w:rsid w:val="00925F59"/>
    <w:rsid w:val="009302EC"/>
    <w:rsid w:val="00934051"/>
    <w:rsid w:val="009358E2"/>
    <w:rsid w:val="00936E1E"/>
    <w:rsid w:val="00941702"/>
    <w:rsid w:val="00944BF9"/>
    <w:rsid w:val="00945E11"/>
    <w:rsid w:val="00945F1F"/>
    <w:rsid w:val="00945F5B"/>
    <w:rsid w:val="009478A1"/>
    <w:rsid w:val="00950D1C"/>
    <w:rsid w:val="0095426E"/>
    <w:rsid w:val="00954354"/>
    <w:rsid w:val="00954C66"/>
    <w:rsid w:val="0095657A"/>
    <w:rsid w:val="0096074E"/>
    <w:rsid w:val="009625B3"/>
    <w:rsid w:val="009632AB"/>
    <w:rsid w:val="00964936"/>
    <w:rsid w:val="00965935"/>
    <w:rsid w:val="00966BF9"/>
    <w:rsid w:val="009672DC"/>
    <w:rsid w:val="00970297"/>
    <w:rsid w:val="009721F8"/>
    <w:rsid w:val="009729B4"/>
    <w:rsid w:val="0097333E"/>
    <w:rsid w:val="009765C3"/>
    <w:rsid w:val="00981DF5"/>
    <w:rsid w:val="009825B3"/>
    <w:rsid w:val="00984722"/>
    <w:rsid w:val="00986620"/>
    <w:rsid w:val="00987009"/>
    <w:rsid w:val="00993811"/>
    <w:rsid w:val="00993A45"/>
    <w:rsid w:val="00994C82"/>
    <w:rsid w:val="00994E16"/>
    <w:rsid w:val="00994F51"/>
    <w:rsid w:val="00995F7D"/>
    <w:rsid w:val="009A2317"/>
    <w:rsid w:val="009A32BD"/>
    <w:rsid w:val="009A544C"/>
    <w:rsid w:val="009A6588"/>
    <w:rsid w:val="009C06C0"/>
    <w:rsid w:val="009C43A4"/>
    <w:rsid w:val="009D0B09"/>
    <w:rsid w:val="009D0EC7"/>
    <w:rsid w:val="009D0EEB"/>
    <w:rsid w:val="009D18D6"/>
    <w:rsid w:val="009D3C9B"/>
    <w:rsid w:val="009D5AF2"/>
    <w:rsid w:val="009D6293"/>
    <w:rsid w:val="009D6AAE"/>
    <w:rsid w:val="009D7FCD"/>
    <w:rsid w:val="009E0B73"/>
    <w:rsid w:val="009E0F54"/>
    <w:rsid w:val="009E12BB"/>
    <w:rsid w:val="009E55A1"/>
    <w:rsid w:val="009F1039"/>
    <w:rsid w:val="009F4279"/>
    <w:rsid w:val="009F5828"/>
    <w:rsid w:val="009F5D92"/>
    <w:rsid w:val="009F6206"/>
    <w:rsid w:val="00A0090C"/>
    <w:rsid w:val="00A00AD7"/>
    <w:rsid w:val="00A00D04"/>
    <w:rsid w:val="00A10B11"/>
    <w:rsid w:val="00A10D84"/>
    <w:rsid w:val="00A11E71"/>
    <w:rsid w:val="00A13687"/>
    <w:rsid w:val="00A138A2"/>
    <w:rsid w:val="00A14347"/>
    <w:rsid w:val="00A201F4"/>
    <w:rsid w:val="00A208C4"/>
    <w:rsid w:val="00A21764"/>
    <w:rsid w:val="00A24A07"/>
    <w:rsid w:val="00A25C62"/>
    <w:rsid w:val="00A26AA4"/>
    <w:rsid w:val="00A27946"/>
    <w:rsid w:val="00A3034A"/>
    <w:rsid w:val="00A314F5"/>
    <w:rsid w:val="00A32BFD"/>
    <w:rsid w:val="00A37B09"/>
    <w:rsid w:val="00A40332"/>
    <w:rsid w:val="00A40A32"/>
    <w:rsid w:val="00A42C59"/>
    <w:rsid w:val="00A46E4C"/>
    <w:rsid w:val="00A47D29"/>
    <w:rsid w:val="00A47E78"/>
    <w:rsid w:val="00A47FAF"/>
    <w:rsid w:val="00A51D4C"/>
    <w:rsid w:val="00A5292A"/>
    <w:rsid w:val="00A55393"/>
    <w:rsid w:val="00A55E04"/>
    <w:rsid w:val="00A56625"/>
    <w:rsid w:val="00A63F80"/>
    <w:rsid w:val="00A642B6"/>
    <w:rsid w:val="00A6513F"/>
    <w:rsid w:val="00A653A9"/>
    <w:rsid w:val="00A65642"/>
    <w:rsid w:val="00A663F7"/>
    <w:rsid w:val="00A66FE0"/>
    <w:rsid w:val="00A70B3E"/>
    <w:rsid w:val="00A72528"/>
    <w:rsid w:val="00A72739"/>
    <w:rsid w:val="00A72BD7"/>
    <w:rsid w:val="00A74087"/>
    <w:rsid w:val="00A74640"/>
    <w:rsid w:val="00A74C73"/>
    <w:rsid w:val="00A81EA6"/>
    <w:rsid w:val="00A8410C"/>
    <w:rsid w:val="00A84641"/>
    <w:rsid w:val="00A84D18"/>
    <w:rsid w:val="00A84E85"/>
    <w:rsid w:val="00A851A5"/>
    <w:rsid w:val="00A902BE"/>
    <w:rsid w:val="00A92F54"/>
    <w:rsid w:val="00A95741"/>
    <w:rsid w:val="00A95DC8"/>
    <w:rsid w:val="00A96FDA"/>
    <w:rsid w:val="00A974B5"/>
    <w:rsid w:val="00A97955"/>
    <w:rsid w:val="00AA1BC1"/>
    <w:rsid w:val="00AA1BD2"/>
    <w:rsid w:val="00AA45B2"/>
    <w:rsid w:val="00AA508A"/>
    <w:rsid w:val="00AA6741"/>
    <w:rsid w:val="00AA7504"/>
    <w:rsid w:val="00AB0024"/>
    <w:rsid w:val="00AB061B"/>
    <w:rsid w:val="00AB354E"/>
    <w:rsid w:val="00AB4262"/>
    <w:rsid w:val="00AB4871"/>
    <w:rsid w:val="00AB4B92"/>
    <w:rsid w:val="00AB4BE4"/>
    <w:rsid w:val="00AB6E05"/>
    <w:rsid w:val="00AB74E8"/>
    <w:rsid w:val="00AB79D3"/>
    <w:rsid w:val="00AB7F3E"/>
    <w:rsid w:val="00AC0931"/>
    <w:rsid w:val="00AC0BB5"/>
    <w:rsid w:val="00AC0F22"/>
    <w:rsid w:val="00AC0FB2"/>
    <w:rsid w:val="00AC105E"/>
    <w:rsid w:val="00AC1ED0"/>
    <w:rsid w:val="00AC4F16"/>
    <w:rsid w:val="00AC732B"/>
    <w:rsid w:val="00AD21C2"/>
    <w:rsid w:val="00AD2FA8"/>
    <w:rsid w:val="00AD36F6"/>
    <w:rsid w:val="00AD54A5"/>
    <w:rsid w:val="00AD6334"/>
    <w:rsid w:val="00AD6478"/>
    <w:rsid w:val="00AD6643"/>
    <w:rsid w:val="00AD6A96"/>
    <w:rsid w:val="00AD7E4F"/>
    <w:rsid w:val="00AE1DA9"/>
    <w:rsid w:val="00AE1E18"/>
    <w:rsid w:val="00AE3B30"/>
    <w:rsid w:val="00AE70B0"/>
    <w:rsid w:val="00AF197B"/>
    <w:rsid w:val="00AF2300"/>
    <w:rsid w:val="00AF345A"/>
    <w:rsid w:val="00AF5322"/>
    <w:rsid w:val="00AF7B11"/>
    <w:rsid w:val="00AF7D6D"/>
    <w:rsid w:val="00B10942"/>
    <w:rsid w:val="00B1246B"/>
    <w:rsid w:val="00B1263B"/>
    <w:rsid w:val="00B16FA3"/>
    <w:rsid w:val="00B21883"/>
    <w:rsid w:val="00B218CA"/>
    <w:rsid w:val="00B2749A"/>
    <w:rsid w:val="00B27A14"/>
    <w:rsid w:val="00B30903"/>
    <w:rsid w:val="00B33F40"/>
    <w:rsid w:val="00B34EA2"/>
    <w:rsid w:val="00B35584"/>
    <w:rsid w:val="00B3645F"/>
    <w:rsid w:val="00B3734C"/>
    <w:rsid w:val="00B37564"/>
    <w:rsid w:val="00B40A3F"/>
    <w:rsid w:val="00B4104F"/>
    <w:rsid w:val="00B435E8"/>
    <w:rsid w:val="00B43D99"/>
    <w:rsid w:val="00B44D4F"/>
    <w:rsid w:val="00B44F5C"/>
    <w:rsid w:val="00B464B9"/>
    <w:rsid w:val="00B47696"/>
    <w:rsid w:val="00B51C25"/>
    <w:rsid w:val="00B54BE3"/>
    <w:rsid w:val="00B573DD"/>
    <w:rsid w:val="00B60A4B"/>
    <w:rsid w:val="00B61CA6"/>
    <w:rsid w:val="00B62B8C"/>
    <w:rsid w:val="00B653FA"/>
    <w:rsid w:val="00B65691"/>
    <w:rsid w:val="00B65FDB"/>
    <w:rsid w:val="00B678B1"/>
    <w:rsid w:val="00B67BB2"/>
    <w:rsid w:val="00B70354"/>
    <w:rsid w:val="00B70F74"/>
    <w:rsid w:val="00B71E1E"/>
    <w:rsid w:val="00B73102"/>
    <w:rsid w:val="00B75259"/>
    <w:rsid w:val="00B76212"/>
    <w:rsid w:val="00B77562"/>
    <w:rsid w:val="00B81447"/>
    <w:rsid w:val="00B82B26"/>
    <w:rsid w:val="00B843ED"/>
    <w:rsid w:val="00B84C9A"/>
    <w:rsid w:val="00B85A08"/>
    <w:rsid w:val="00B863F2"/>
    <w:rsid w:val="00B86677"/>
    <w:rsid w:val="00B86EC7"/>
    <w:rsid w:val="00B90B9E"/>
    <w:rsid w:val="00B925D6"/>
    <w:rsid w:val="00B966D5"/>
    <w:rsid w:val="00BA275D"/>
    <w:rsid w:val="00BA5A0B"/>
    <w:rsid w:val="00BA6768"/>
    <w:rsid w:val="00BB0F31"/>
    <w:rsid w:val="00BB1786"/>
    <w:rsid w:val="00BB1B8A"/>
    <w:rsid w:val="00BB4396"/>
    <w:rsid w:val="00BB49C7"/>
    <w:rsid w:val="00BC4078"/>
    <w:rsid w:val="00BC57B1"/>
    <w:rsid w:val="00BC7180"/>
    <w:rsid w:val="00BD0437"/>
    <w:rsid w:val="00BD075C"/>
    <w:rsid w:val="00BD47C2"/>
    <w:rsid w:val="00BD55E8"/>
    <w:rsid w:val="00BE098D"/>
    <w:rsid w:val="00BE0A89"/>
    <w:rsid w:val="00BE1A22"/>
    <w:rsid w:val="00BE2851"/>
    <w:rsid w:val="00BE28D2"/>
    <w:rsid w:val="00BE549C"/>
    <w:rsid w:val="00BE5BC0"/>
    <w:rsid w:val="00BF32C9"/>
    <w:rsid w:val="00BF3C34"/>
    <w:rsid w:val="00BF564B"/>
    <w:rsid w:val="00BF69B2"/>
    <w:rsid w:val="00BF6AF2"/>
    <w:rsid w:val="00C021E3"/>
    <w:rsid w:val="00C0352F"/>
    <w:rsid w:val="00C0359F"/>
    <w:rsid w:val="00C05E65"/>
    <w:rsid w:val="00C0721B"/>
    <w:rsid w:val="00C13A75"/>
    <w:rsid w:val="00C13CD1"/>
    <w:rsid w:val="00C149BB"/>
    <w:rsid w:val="00C14EAB"/>
    <w:rsid w:val="00C174E4"/>
    <w:rsid w:val="00C17954"/>
    <w:rsid w:val="00C17D22"/>
    <w:rsid w:val="00C20238"/>
    <w:rsid w:val="00C2064D"/>
    <w:rsid w:val="00C20F53"/>
    <w:rsid w:val="00C2519C"/>
    <w:rsid w:val="00C31A5F"/>
    <w:rsid w:val="00C37AF8"/>
    <w:rsid w:val="00C41E79"/>
    <w:rsid w:val="00C42D3A"/>
    <w:rsid w:val="00C463D3"/>
    <w:rsid w:val="00C516A0"/>
    <w:rsid w:val="00C51D2E"/>
    <w:rsid w:val="00C52340"/>
    <w:rsid w:val="00C528DA"/>
    <w:rsid w:val="00C52ED8"/>
    <w:rsid w:val="00C54F8F"/>
    <w:rsid w:val="00C601AB"/>
    <w:rsid w:val="00C60BED"/>
    <w:rsid w:val="00C611D9"/>
    <w:rsid w:val="00C62E59"/>
    <w:rsid w:val="00C6590F"/>
    <w:rsid w:val="00C7288C"/>
    <w:rsid w:val="00C72C9A"/>
    <w:rsid w:val="00C75066"/>
    <w:rsid w:val="00C80CE4"/>
    <w:rsid w:val="00C83B89"/>
    <w:rsid w:val="00C855C6"/>
    <w:rsid w:val="00C85ACC"/>
    <w:rsid w:val="00C86270"/>
    <w:rsid w:val="00C942C8"/>
    <w:rsid w:val="00C94858"/>
    <w:rsid w:val="00C9663B"/>
    <w:rsid w:val="00CA0A19"/>
    <w:rsid w:val="00CA22C3"/>
    <w:rsid w:val="00CA5FC6"/>
    <w:rsid w:val="00CA79E4"/>
    <w:rsid w:val="00CB13AA"/>
    <w:rsid w:val="00CB38FC"/>
    <w:rsid w:val="00CB4F12"/>
    <w:rsid w:val="00CB6B79"/>
    <w:rsid w:val="00CC15A9"/>
    <w:rsid w:val="00CC535B"/>
    <w:rsid w:val="00CC7949"/>
    <w:rsid w:val="00CD00A8"/>
    <w:rsid w:val="00CD2668"/>
    <w:rsid w:val="00CD779A"/>
    <w:rsid w:val="00CD7969"/>
    <w:rsid w:val="00CE36D9"/>
    <w:rsid w:val="00CE3EF8"/>
    <w:rsid w:val="00CE5B56"/>
    <w:rsid w:val="00CE69BD"/>
    <w:rsid w:val="00CE6A66"/>
    <w:rsid w:val="00CE7272"/>
    <w:rsid w:val="00CE778F"/>
    <w:rsid w:val="00CF03E0"/>
    <w:rsid w:val="00CF7348"/>
    <w:rsid w:val="00CF7A28"/>
    <w:rsid w:val="00CF7C56"/>
    <w:rsid w:val="00D02404"/>
    <w:rsid w:val="00D05762"/>
    <w:rsid w:val="00D0596C"/>
    <w:rsid w:val="00D06B9C"/>
    <w:rsid w:val="00D10925"/>
    <w:rsid w:val="00D12B67"/>
    <w:rsid w:val="00D131CD"/>
    <w:rsid w:val="00D1511C"/>
    <w:rsid w:val="00D1654F"/>
    <w:rsid w:val="00D17D75"/>
    <w:rsid w:val="00D247CC"/>
    <w:rsid w:val="00D24C83"/>
    <w:rsid w:val="00D25756"/>
    <w:rsid w:val="00D25839"/>
    <w:rsid w:val="00D3247A"/>
    <w:rsid w:val="00D33300"/>
    <w:rsid w:val="00D3564B"/>
    <w:rsid w:val="00D35BB0"/>
    <w:rsid w:val="00D37D71"/>
    <w:rsid w:val="00D44450"/>
    <w:rsid w:val="00D50622"/>
    <w:rsid w:val="00D514BB"/>
    <w:rsid w:val="00D51759"/>
    <w:rsid w:val="00D51FC5"/>
    <w:rsid w:val="00D55829"/>
    <w:rsid w:val="00D62E34"/>
    <w:rsid w:val="00D654A8"/>
    <w:rsid w:val="00D65631"/>
    <w:rsid w:val="00D702B3"/>
    <w:rsid w:val="00D70889"/>
    <w:rsid w:val="00D715E9"/>
    <w:rsid w:val="00D71B9A"/>
    <w:rsid w:val="00D722F5"/>
    <w:rsid w:val="00D72A58"/>
    <w:rsid w:val="00D72A8A"/>
    <w:rsid w:val="00D7307B"/>
    <w:rsid w:val="00D739BA"/>
    <w:rsid w:val="00D75256"/>
    <w:rsid w:val="00D8461B"/>
    <w:rsid w:val="00D856AE"/>
    <w:rsid w:val="00D864D1"/>
    <w:rsid w:val="00D941E6"/>
    <w:rsid w:val="00D94F57"/>
    <w:rsid w:val="00DA0D38"/>
    <w:rsid w:val="00DA30CD"/>
    <w:rsid w:val="00DA3D28"/>
    <w:rsid w:val="00DA7944"/>
    <w:rsid w:val="00DB0064"/>
    <w:rsid w:val="00DB027A"/>
    <w:rsid w:val="00DB17C7"/>
    <w:rsid w:val="00DB3D40"/>
    <w:rsid w:val="00DB5C5E"/>
    <w:rsid w:val="00DB63F4"/>
    <w:rsid w:val="00DB6716"/>
    <w:rsid w:val="00DC5828"/>
    <w:rsid w:val="00DC5DFB"/>
    <w:rsid w:val="00DC76D3"/>
    <w:rsid w:val="00DD0190"/>
    <w:rsid w:val="00DD33E2"/>
    <w:rsid w:val="00DD57C5"/>
    <w:rsid w:val="00DD6462"/>
    <w:rsid w:val="00DE0166"/>
    <w:rsid w:val="00DE1114"/>
    <w:rsid w:val="00DE1352"/>
    <w:rsid w:val="00DE1CD1"/>
    <w:rsid w:val="00DE209E"/>
    <w:rsid w:val="00DE3556"/>
    <w:rsid w:val="00DE3E27"/>
    <w:rsid w:val="00DE42AA"/>
    <w:rsid w:val="00DE5562"/>
    <w:rsid w:val="00DE6019"/>
    <w:rsid w:val="00DE7386"/>
    <w:rsid w:val="00DF106E"/>
    <w:rsid w:val="00DF3B78"/>
    <w:rsid w:val="00DF3C62"/>
    <w:rsid w:val="00DF5800"/>
    <w:rsid w:val="00E00C0F"/>
    <w:rsid w:val="00E01338"/>
    <w:rsid w:val="00E01C55"/>
    <w:rsid w:val="00E02601"/>
    <w:rsid w:val="00E03A50"/>
    <w:rsid w:val="00E05F66"/>
    <w:rsid w:val="00E06089"/>
    <w:rsid w:val="00E12A1E"/>
    <w:rsid w:val="00E13CA5"/>
    <w:rsid w:val="00E15D5E"/>
    <w:rsid w:val="00E17E49"/>
    <w:rsid w:val="00E209EB"/>
    <w:rsid w:val="00E22D7B"/>
    <w:rsid w:val="00E23D47"/>
    <w:rsid w:val="00E2529A"/>
    <w:rsid w:val="00E26E85"/>
    <w:rsid w:val="00E30C88"/>
    <w:rsid w:val="00E32A84"/>
    <w:rsid w:val="00E355D5"/>
    <w:rsid w:val="00E35B58"/>
    <w:rsid w:val="00E36FF4"/>
    <w:rsid w:val="00E37DA8"/>
    <w:rsid w:val="00E40329"/>
    <w:rsid w:val="00E41686"/>
    <w:rsid w:val="00E43D7D"/>
    <w:rsid w:val="00E43EAE"/>
    <w:rsid w:val="00E445AB"/>
    <w:rsid w:val="00E4513A"/>
    <w:rsid w:val="00E457AF"/>
    <w:rsid w:val="00E46652"/>
    <w:rsid w:val="00E47D04"/>
    <w:rsid w:val="00E51EC9"/>
    <w:rsid w:val="00E529D4"/>
    <w:rsid w:val="00E54A92"/>
    <w:rsid w:val="00E558C3"/>
    <w:rsid w:val="00E5759B"/>
    <w:rsid w:val="00E60A1A"/>
    <w:rsid w:val="00E612AB"/>
    <w:rsid w:val="00E61F64"/>
    <w:rsid w:val="00E6372D"/>
    <w:rsid w:val="00E64C7E"/>
    <w:rsid w:val="00E74522"/>
    <w:rsid w:val="00E758F1"/>
    <w:rsid w:val="00E77F85"/>
    <w:rsid w:val="00E8046A"/>
    <w:rsid w:val="00E82F53"/>
    <w:rsid w:val="00E86E9F"/>
    <w:rsid w:val="00E91BF3"/>
    <w:rsid w:val="00E91FA8"/>
    <w:rsid w:val="00E92BF5"/>
    <w:rsid w:val="00E92DB7"/>
    <w:rsid w:val="00E93806"/>
    <w:rsid w:val="00E952FB"/>
    <w:rsid w:val="00E96F36"/>
    <w:rsid w:val="00E978A2"/>
    <w:rsid w:val="00E97D25"/>
    <w:rsid w:val="00EA0345"/>
    <w:rsid w:val="00EA208E"/>
    <w:rsid w:val="00EA26F5"/>
    <w:rsid w:val="00EA731A"/>
    <w:rsid w:val="00EA7CEC"/>
    <w:rsid w:val="00EB0B1D"/>
    <w:rsid w:val="00EB25B8"/>
    <w:rsid w:val="00EB5433"/>
    <w:rsid w:val="00EB6251"/>
    <w:rsid w:val="00EB7A4D"/>
    <w:rsid w:val="00EC0F63"/>
    <w:rsid w:val="00EC4C6B"/>
    <w:rsid w:val="00EC7C12"/>
    <w:rsid w:val="00ED3090"/>
    <w:rsid w:val="00ED3DA3"/>
    <w:rsid w:val="00ED49B1"/>
    <w:rsid w:val="00EE0CA7"/>
    <w:rsid w:val="00EE1A30"/>
    <w:rsid w:val="00EE229D"/>
    <w:rsid w:val="00EE2715"/>
    <w:rsid w:val="00EE50DD"/>
    <w:rsid w:val="00EE6527"/>
    <w:rsid w:val="00EE76B7"/>
    <w:rsid w:val="00EF15CF"/>
    <w:rsid w:val="00EF16F5"/>
    <w:rsid w:val="00EF1B4E"/>
    <w:rsid w:val="00EF2957"/>
    <w:rsid w:val="00EF3EAC"/>
    <w:rsid w:val="00EF770B"/>
    <w:rsid w:val="00EF779D"/>
    <w:rsid w:val="00EF7C08"/>
    <w:rsid w:val="00F0047D"/>
    <w:rsid w:val="00F0190A"/>
    <w:rsid w:val="00F01AF6"/>
    <w:rsid w:val="00F02071"/>
    <w:rsid w:val="00F03837"/>
    <w:rsid w:val="00F04684"/>
    <w:rsid w:val="00F06DBE"/>
    <w:rsid w:val="00F12B88"/>
    <w:rsid w:val="00F12DF8"/>
    <w:rsid w:val="00F14F4C"/>
    <w:rsid w:val="00F16B56"/>
    <w:rsid w:val="00F205EF"/>
    <w:rsid w:val="00F22896"/>
    <w:rsid w:val="00F23B72"/>
    <w:rsid w:val="00F247B8"/>
    <w:rsid w:val="00F26D61"/>
    <w:rsid w:val="00F27D3B"/>
    <w:rsid w:val="00F3266D"/>
    <w:rsid w:val="00F338A6"/>
    <w:rsid w:val="00F353EA"/>
    <w:rsid w:val="00F40D59"/>
    <w:rsid w:val="00F41677"/>
    <w:rsid w:val="00F4185A"/>
    <w:rsid w:val="00F43B24"/>
    <w:rsid w:val="00F44478"/>
    <w:rsid w:val="00F44874"/>
    <w:rsid w:val="00F44CD5"/>
    <w:rsid w:val="00F454BF"/>
    <w:rsid w:val="00F454F1"/>
    <w:rsid w:val="00F46744"/>
    <w:rsid w:val="00F47287"/>
    <w:rsid w:val="00F51ED1"/>
    <w:rsid w:val="00F532B5"/>
    <w:rsid w:val="00F542C7"/>
    <w:rsid w:val="00F54B4A"/>
    <w:rsid w:val="00F57235"/>
    <w:rsid w:val="00F640BB"/>
    <w:rsid w:val="00F67818"/>
    <w:rsid w:val="00F70C45"/>
    <w:rsid w:val="00F725AC"/>
    <w:rsid w:val="00F75353"/>
    <w:rsid w:val="00F76A84"/>
    <w:rsid w:val="00F77431"/>
    <w:rsid w:val="00F80277"/>
    <w:rsid w:val="00F82C59"/>
    <w:rsid w:val="00F844F3"/>
    <w:rsid w:val="00F84511"/>
    <w:rsid w:val="00F85B2F"/>
    <w:rsid w:val="00F8646A"/>
    <w:rsid w:val="00F8709E"/>
    <w:rsid w:val="00F91A07"/>
    <w:rsid w:val="00F91E76"/>
    <w:rsid w:val="00F929FC"/>
    <w:rsid w:val="00F943EB"/>
    <w:rsid w:val="00F9543F"/>
    <w:rsid w:val="00F963A5"/>
    <w:rsid w:val="00F97F1C"/>
    <w:rsid w:val="00FA0D31"/>
    <w:rsid w:val="00FA19CE"/>
    <w:rsid w:val="00FA1D95"/>
    <w:rsid w:val="00FA2087"/>
    <w:rsid w:val="00FA75CD"/>
    <w:rsid w:val="00FA7936"/>
    <w:rsid w:val="00FB2485"/>
    <w:rsid w:val="00FB2C9E"/>
    <w:rsid w:val="00FB531C"/>
    <w:rsid w:val="00FB6534"/>
    <w:rsid w:val="00FC1B6F"/>
    <w:rsid w:val="00FD0800"/>
    <w:rsid w:val="00FD5255"/>
    <w:rsid w:val="00FD6042"/>
    <w:rsid w:val="00FD7927"/>
    <w:rsid w:val="00FE0233"/>
    <w:rsid w:val="00FE0374"/>
    <w:rsid w:val="00FE0AD8"/>
    <w:rsid w:val="00FE35C4"/>
    <w:rsid w:val="00FE51DA"/>
    <w:rsid w:val="00FE55EC"/>
    <w:rsid w:val="00FE5D6B"/>
    <w:rsid w:val="00FE6477"/>
    <w:rsid w:val="00FE7976"/>
    <w:rsid w:val="00FF05A7"/>
    <w:rsid w:val="00FF1864"/>
    <w:rsid w:val="00FF307D"/>
    <w:rsid w:val="00FF4E22"/>
    <w:rsid w:val="00FF5E0C"/>
    <w:rsid w:val="010C18FD"/>
    <w:rsid w:val="0282B61D"/>
    <w:rsid w:val="02AAF23B"/>
    <w:rsid w:val="0370AC59"/>
    <w:rsid w:val="086E4726"/>
    <w:rsid w:val="090C2FBE"/>
    <w:rsid w:val="090D267F"/>
    <w:rsid w:val="0A1E40D8"/>
    <w:rsid w:val="0C9A5308"/>
    <w:rsid w:val="0D2A4CFA"/>
    <w:rsid w:val="0E8537BE"/>
    <w:rsid w:val="0EC8C46D"/>
    <w:rsid w:val="0FC57518"/>
    <w:rsid w:val="110A63D9"/>
    <w:rsid w:val="111DE486"/>
    <w:rsid w:val="15448EB4"/>
    <w:rsid w:val="171D92CB"/>
    <w:rsid w:val="17A56B63"/>
    <w:rsid w:val="197A9C25"/>
    <w:rsid w:val="1ABD8C96"/>
    <w:rsid w:val="1B60900A"/>
    <w:rsid w:val="1C5F7FC2"/>
    <w:rsid w:val="1CE2798A"/>
    <w:rsid w:val="1E8F6675"/>
    <w:rsid w:val="20776EF6"/>
    <w:rsid w:val="20A8FC51"/>
    <w:rsid w:val="23AFEECA"/>
    <w:rsid w:val="26BC1EC9"/>
    <w:rsid w:val="273B12CF"/>
    <w:rsid w:val="27D8E479"/>
    <w:rsid w:val="286D4D31"/>
    <w:rsid w:val="28B497B7"/>
    <w:rsid w:val="2B3394D8"/>
    <w:rsid w:val="2C8700C2"/>
    <w:rsid w:val="305C4B0B"/>
    <w:rsid w:val="310304E2"/>
    <w:rsid w:val="32389369"/>
    <w:rsid w:val="3541E627"/>
    <w:rsid w:val="35B793A1"/>
    <w:rsid w:val="35FD9BFB"/>
    <w:rsid w:val="37526F68"/>
    <w:rsid w:val="3844977D"/>
    <w:rsid w:val="393E109F"/>
    <w:rsid w:val="3985C005"/>
    <w:rsid w:val="3AD5DCB0"/>
    <w:rsid w:val="3B762C9E"/>
    <w:rsid w:val="3D4959F9"/>
    <w:rsid w:val="3ED4E0BB"/>
    <w:rsid w:val="41EA77C1"/>
    <w:rsid w:val="42D20914"/>
    <w:rsid w:val="43420347"/>
    <w:rsid w:val="4484A6CF"/>
    <w:rsid w:val="4930957D"/>
    <w:rsid w:val="496E21FF"/>
    <w:rsid w:val="4AAD7CA6"/>
    <w:rsid w:val="4BD3EEAF"/>
    <w:rsid w:val="4CB553BD"/>
    <w:rsid w:val="4CE02E3C"/>
    <w:rsid w:val="4CFCD629"/>
    <w:rsid w:val="4D8DF45E"/>
    <w:rsid w:val="4DBAA87C"/>
    <w:rsid w:val="4EA4A9CB"/>
    <w:rsid w:val="5071FC2D"/>
    <w:rsid w:val="50EFBB93"/>
    <w:rsid w:val="52D994CC"/>
    <w:rsid w:val="5D032C99"/>
    <w:rsid w:val="60C633B5"/>
    <w:rsid w:val="6240346F"/>
    <w:rsid w:val="63748C56"/>
    <w:rsid w:val="63C1BBAD"/>
    <w:rsid w:val="66CB1073"/>
    <w:rsid w:val="68F67821"/>
    <w:rsid w:val="6A3D23A4"/>
    <w:rsid w:val="6D38D1F0"/>
    <w:rsid w:val="70D94DA9"/>
    <w:rsid w:val="71969187"/>
    <w:rsid w:val="71BF5BD0"/>
    <w:rsid w:val="71D9160E"/>
    <w:rsid w:val="71E4C506"/>
    <w:rsid w:val="73DEF118"/>
    <w:rsid w:val="73EB9CFB"/>
    <w:rsid w:val="78C96971"/>
    <w:rsid w:val="790F3757"/>
    <w:rsid w:val="7F9B0DD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52C168"/>
  <w15:chartTrackingRefBased/>
  <w15:docId w15:val="{2563E4BB-2439-4BE5-858A-04836A01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30"/>
    <w:pPr>
      <w:overflowPunct w:val="0"/>
      <w:autoSpaceDE w:val="0"/>
      <w:autoSpaceDN w:val="0"/>
      <w:adjustRightInd w:val="0"/>
      <w:spacing w:after="0" w:line="240" w:lineRule="auto"/>
      <w:textAlignment w:val="baseline"/>
    </w:pPr>
    <w:rPr>
      <w:rFonts w:ascii="Arial" w:eastAsia="Times New Roman" w:hAnsi="Arial" w:cs="Times New Roman"/>
      <w:spacing w:val="-3"/>
      <w:sz w:val="2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E3B30"/>
    <w:pPr>
      <w:tabs>
        <w:tab w:val="center" w:pos="4419"/>
        <w:tab w:val="right" w:pos="8838"/>
      </w:tabs>
    </w:pPr>
    <w:rPr>
      <w:spacing w:val="0"/>
      <w:sz w:val="28"/>
    </w:rPr>
  </w:style>
  <w:style w:type="character" w:customStyle="1" w:styleId="EncabezadoCar">
    <w:name w:val="Encabezado Car"/>
    <w:basedOn w:val="Fuentedeprrafopredeter"/>
    <w:link w:val="Encabezado"/>
    <w:rsid w:val="00AE3B30"/>
    <w:rPr>
      <w:rFonts w:ascii="Arial" w:eastAsia="Times New Roman" w:hAnsi="Arial" w:cs="Times New Roman"/>
      <w:sz w:val="28"/>
      <w:szCs w:val="20"/>
      <w:lang w:val="es-ES_tradnl" w:eastAsia="es-ES"/>
    </w:rPr>
  </w:style>
  <w:style w:type="character" w:styleId="Nmerodepgina">
    <w:name w:val="page number"/>
    <w:basedOn w:val="Fuentedeprrafopredeter"/>
    <w:rsid w:val="00AE3B30"/>
  </w:style>
  <w:style w:type="paragraph" w:styleId="Sangradetextonormal">
    <w:name w:val="Body Text Indent"/>
    <w:basedOn w:val="Normal"/>
    <w:link w:val="SangradetextonormalCar"/>
    <w:uiPriority w:val="99"/>
    <w:unhideWhenUsed/>
    <w:rsid w:val="00AE3B30"/>
    <w:pPr>
      <w:spacing w:after="120"/>
      <w:ind w:left="283"/>
    </w:pPr>
  </w:style>
  <w:style w:type="character" w:customStyle="1" w:styleId="SangradetextonormalCar">
    <w:name w:val="Sangría de texto normal Car"/>
    <w:basedOn w:val="Fuentedeprrafopredeter"/>
    <w:link w:val="Sangradetextonormal"/>
    <w:uiPriority w:val="99"/>
    <w:rsid w:val="00AE3B30"/>
    <w:rPr>
      <w:rFonts w:ascii="Arial" w:eastAsia="Times New Roman" w:hAnsi="Arial" w:cs="Times New Roman"/>
      <w:spacing w:val="-3"/>
      <w:sz w:val="26"/>
      <w:szCs w:val="20"/>
      <w:lang w:val="es-ES_tradnl" w:eastAsia="es-ES"/>
    </w:rPr>
  </w:style>
  <w:style w:type="paragraph" w:styleId="Piedepgina">
    <w:name w:val="footer"/>
    <w:basedOn w:val="Normal"/>
    <w:link w:val="PiedepginaCar"/>
    <w:uiPriority w:val="99"/>
    <w:unhideWhenUsed/>
    <w:rsid w:val="00AE3B30"/>
    <w:pPr>
      <w:tabs>
        <w:tab w:val="center" w:pos="4252"/>
        <w:tab w:val="right" w:pos="8504"/>
      </w:tabs>
    </w:pPr>
  </w:style>
  <w:style w:type="character" w:customStyle="1" w:styleId="PiedepginaCar">
    <w:name w:val="Pie de página Car"/>
    <w:basedOn w:val="Fuentedeprrafopredeter"/>
    <w:link w:val="Piedepgina"/>
    <w:uiPriority w:val="99"/>
    <w:rsid w:val="00AE3B30"/>
    <w:rPr>
      <w:rFonts w:ascii="Arial" w:eastAsia="Times New Roman" w:hAnsi="Arial" w:cs="Times New Roman"/>
      <w:spacing w:val="-3"/>
      <w:sz w:val="26"/>
      <w:szCs w:val="20"/>
      <w:lang w:val="es-ES_tradnl" w:eastAsia="es-ES"/>
    </w:rPr>
  </w:style>
  <w:style w:type="paragraph" w:styleId="Textodeglobo">
    <w:name w:val="Balloon Text"/>
    <w:basedOn w:val="Normal"/>
    <w:link w:val="TextodegloboCar"/>
    <w:uiPriority w:val="99"/>
    <w:semiHidden/>
    <w:unhideWhenUsed/>
    <w:rsid w:val="00AE3B3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3B30"/>
    <w:rPr>
      <w:rFonts w:ascii="Segoe UI" w:eastAsia="Times New Roman" w:hAnsi="Segoe UI" w:cs="Segoe UI"/>
      <w:spacing w:val="-3"/>
      <w:sz w:val="18"/>
      <w:szCs w:val="18"/>
      <w:lang w:val="es-ES_tradnl" w:eastAsia="es-ES"/>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A Fu Car Car,Car"/>
    <w:basedOn w:val="Normal"/>
    <w:link w:val="TextonotapieCar"/>
    <w:unhideWhenUsed/>
    <w:qFormat/>
    <w:rsid w:val="00087070"/>
    <w:rPr>
      <w:sz w:val="20"/>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basedOn w:val="Fuentedeprrafopredeter"/>
    <w:link w:val="Textonotapie"/>
    <w:qFormat/>
    <w:rsid w:val="00087070"/>
    <w:rPr>
      <w:rFonts w:ascii="Arial" w:eastAsia="Times New Roman" w:hAnsi="Arial" w:cs="Times New Roman"/>
      <w:spacing w:val="-3"/>
      <w:sz w:val="20"/>
      <w:szCs w:val="20"/>
      <w:lang w:val="es-ES_tradnl" w:eastAsia="es-ES"/>
    </w:rPr>
  </w:style>
  <w:style w:type="character" w:styleId="Refdenotaalpie">
    <w:name w:val="footnote reference"/>
    <w:aliases w:val="Texto de nota al pie,referencia nota al pie,Appel note de bas de page,BVI fnr,Footnote symbol,Footnote,Ref. de nota al pie2,Nota de pie,Ref,de nota al pie,Pie de pagina,Ref. ...,Ref1,FC,Footnotes refss,Footnote number,f,FZ,4_G,R,F,Re"/>
    <w:basedOn w:val="Fuentedeprrafopredeter"/>
    <w:link w:val="4GChar"/>
    <w:unhideWhenUsed/>
    <w:qFormat/>
    <w:rsid w:val="00087070"/>
    <w:rPr>
      <w:vertAlign w:val="superscript"/>
    </w:rPr>
  </w:style>
  <w:style w:type="paragraph" w:styleId="Sinespaciado">
    <w:name w:val="No Spacing"/>
    <w:link w:val="SinespaciadoCar"/>
    <w:uiPriority w:val="1"/>
    <w:qFormat/>
    <w:rsid w:val="00426E2D"/>
    <w:pPr>
      <w:spacing w:after="0" w:line="240" w:lineRule="auto"/>
    </w:pPr>
    <w:rPr>
      <w:rFonts w:ascii="Calibri" w:eastAsia="Times New Roman" w:hAnsi="Calibri" w:cs="Times New Roman"/>
    </w:rPr>
  </w:style>
  <w:style w:type="paragraph" w:styleId="Prrafodelista">
    <w:name w:val="List Paragraph"/>
    <w:aliases w:val="Delitos,Lista vistosa - Énfasis 11,Colorful List - Accent 11,Ha,List Paragraph1,lp1"/>
    <w:basedOn w:val="Normal"/>
    <w:link w:val="PrrafodelistaCar"/>
    <w:uiPriority w:val="34"/>
    <w:qFormat/>
    <w:rsid w:val="00CB4F12"/>
    <w:pPr>
      <w:ind w:left="720"/>
      <w:contextualSpacing/>
    </w:pPr>
  </w:style>
  <w:style w:type="paragraph" w:customStyle="1" w:styleId="paragraph">
    <w:name w:val="paragraph"/>
    <w:basedOn w:val="Normal"/>
    <w:rsid w:val="007D7E39"/>
    <w:pPr>
      <w:overflowPunct/>
      <w:autoSpaceDE/>
      <w:autoSpaceDN/>
      <w:adjustRightInd/>
      <w:spacing w:before="100" w:beforeAutospacing="1" w:after="100" w:afterAutospacing="1"/>
      <w:textAlignment w:val="auto"/>
    </w:pPr>
    <w:rPr>
      <w:rFonts w:ascii="Times New Roman" w:hAnsi="Times New Roman"/>
      <w:spacing w:val="0"/>
      <w:sz w:val="24"/>
      <w:szCs w:val="24"/>
      <w:lang w:val="es-CO" w:eastAsia="es-CO"/>
    </w:rPr>
  </w:style>
  <w:style w:type="character" w:customStyle="1" w:styleId="normaltextrun">
    <w:name w:val="normaltextrun"/>
    <w:basedOn w:val="Fuentedeprrafopredeter"/>
    <w:rsid w:val="007D7E39"/>
  </w:style>
  <w:style w:type="character" w:customStyle="1" w:styleId="superscript">
    <w:name w:val="superscript"/>
    <w:basedOn w:val="Fuentedeprrafopredeter"/>
    <w:rsid w:val="007D7E39"/>
  </w:style>
  <w:style w:type="character" w:customStyle="1" w:styleId="eop">
    <w:name w:val="eop"/>
    <w:basedOn w:val="Fuentedeprrafopredeter"/>
    <w:rsid w:val="007D7E39"/>
  </w:style>
  <w:style w:type="character" w:customStyle="1" w:styleId="tabchar">
    <w:name w:val="tabchar"/>
    <w:basedOn w:val="Fuentedeprrafopredeter"/>
    <w:rsid w:val="00B33F40"/>
  </w:style>
  <w:style w:type="character" w:styleId="Hipervnculo">
    <w:name w:val="Hyperlink"/>
    <w:basedOn w:val="Fuentedeprrafopredeter"/>
    <w:uiPriority w:val="99"/>
    <w:unhideWhenUsed/>
    <w:rsid w:val="0043244E"/>
    <w:rPr>
      <w:color w:val="0563C1" w:themeColor="hyperlink"/>
      <w:u w:val="single"/>
    </w:rPr>
  </w:style>
  <w:style w:type="character" w:customStyle="1" w:styleId="Mencinsinresolver1">
    <w:name w:val="Mención sin resolver1"/>
    <w:basedOn w:val="Fuentedeprrafopredeter"/>
    <w:uiPriority w:val="99"/>
    <w:semiHidden/>
    <w:unhideWhenUsed/>
    <w:rsid w:val="0043244E"/>
    <w:rPr>
      <w:color w:val="605E5C"/>
      <w:shd w:val="clear" w:color="auto" w:fill="E1DFDD"/>
    </w:rPr>
  </w:style>
  <w:style w:type="character" w:styleId="Refdecomentario">
    <w:name w:val="annotation reference"/>
    <w:basedOn w:val="Fuentedeprrafopredeter"/>
    <w:uiPriority w:val="99"/>
    <w:semiHidden/>
    <w:unhideWhenUsed/>
    <w:rsid w:val="007F7347"/>
    <w:rPr>
      <w:sz w:val="16"/>
      <w:szCs w:val="16"/>
    </w:rPr>
  </w:style>
  <w:style w:type="paragraph" w:styleId="Textocomentario">
    <w:name w:val="annotation text"/>
    <w:basedOn w:val="Normal"/>
    <w:link w:val="TextocomentarioCar"/>
    <w:uiPriority w:val="99"/>
    <w:semiHidden/>
    <w:unhideWhenUsed/>
    <w:rsid w:val="007F7347"/>
    <w:rPr>
      <w:sz w:val="20"/>
    </w:rPr>
  </w:style>
  <w:style w:type="character" w:customStyle="1" w:styleId="TextocomentarioCar">
    <w:name w:val="Texto comentario Car"/>
    <w:basedOn w:val="Fuentedeprrafopredeter"/>
    <w:link w:val="Textocomentario"/>
    <w:uiPriority w:val="99"/>
    <w:semiHidden/>
    <w:rsid w:val="007F7347"/>
    <w:rPr>
      <w:rFonts w:ascii="Arial" w:eastAsia="Times New Roman" w:hAnsi="Arial" w:cs="Times New Roman"/>
      <w:spacing w:val="-3"/>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F7347"/>
    <w:rPr>
      <w:b/>
      <w:bCs/>
    </w:rPr>
  </w:style>
  <w:style w:type="character" w:customStyle="1" w:styleId="AsuntodelcomentarioCar">
    <w:name w:val="Asunto del comentario Car"/>
    <w:basedOn w:val="TextocomentarioCar"/>
    <w:link w:val="Asuntodelcomentario"/>
    <w:uiPriority w:val="99"/>
    <w:semiHidden/>
    <w:rsid w:val="007F7347"/>
    <w:rPr>
      <w:rFonts w:ascii="Arial" w:eastAsia="Times New Roman" w:hAnsi="Arial" w:cs="Times New Roman"/>
      <w:b/>
      <w:bCs/>
      <w:spacing w:val="-3"/>
      <w:sz w:val="20"/>
      <w:szCs w:val="20"/>
      <w:lang w:val="es-ES_tradnl" w:eastAsia="es-ES"/>
    </w:rPr>
  </w:style>
  <w:style w:type="paragraph" w:styleId="NormalWeb">
    <w:name w:val="Normal (Web)"/>
    <w:basedOn w:val="Normal"/>
    <w:uiPriority w:val="99"/>
    <w:unhideWhenUsed/>
    <w:rsid w:val="00005E11"/>
    <w:rPr>
      <w:rFonts w:ascii="Times New Roman" w:hAnsi="Times New Roman"/>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F03E0"/>
    <w:pPr>
      <w:overflowPunct/>
      <w:autoSpaceDE/>
      <w:autoSpaceDN/>
      <w:adjustRightInd/>
      <w:jc w:val="both"/>
      <w:textAlignment w:val="auto"/>
    </w:pPr>
    <w:rPr>
      <w:rFonts w:asciiTheme="minorHAnsi" w:eastAsiaTheme="minorHAnsi" w:hAnsiTheme="minorHAnsi" w:cstheme="minorBidi"/>
      <w:spacing w:val="0"/>
      <w:sz w:val="22"/>
      <w:szCs w:val="22"/>
      <w:vertAlign w:val="superscript"/>
      <w:lang w:val="es-ES" w:eastAsia="en-US"/>
    </w:rPr>
  </w:style>
  <w:style w:type="character" w:customStyle="1" w:styleId="PrrafodelistaCar">
    <w:name w:val="Párrafo de lista Car"/>
    <w:aliases w:val="Delitos Car,Lista vistosa - Énfasis 11 Car,Colorful List - Accent 11 Car,Ha Car,List Paragraph1 Car,lp1 Car"/>
    <w:link w:val="Prrafodelista"/>
    <w:uiPriority w:val="34"/>
    <w:locked/>
    <w:rsid w:val="00CF03E0"/>
    <w:rPr>
      <w:rFonts w:ascii="Arial" w:eastAsia="Times New Roman" w:hAnsi="Arial" w:cs="Times New Roman"/>
      <w:spacing w:val="-3"/>
      <w:sz w:val="26"/>
      <w:szCs w:val="20"/>
      <w:lang w:val="es-ES_tradnl" w:eastAsia="es-ES"/>
    </w:rPr>
  </w:style>
  <w:style w:type="character" w:styleId="Mencinsinresolver">
    <w:name w:val="Unresolved Mention"/>
    <w:basedOn w:val="Fuentedeprrafopredeter"/>
    <w:uiPriority w:val="99"/>
    <w:semiHidden/>
    <w:unhideWhenUsed/>
    <w:rsid w:val="00AD6A96"/>
    <w:rPr>
      <w:color w:val="605E5C"/>
      <w:shd w:val="clear" w:color="auto" w:fill="E1DFDD"/>
    </w:rPr>
  </w:style>
  <w:style w:type="paragraph" w:customStyle="1" w:styleId="Style1">
    <w:name w:val="Style1"/>
    <w:basedOn w:val="Normal"/>
    <w:uiPriority w:val="99"/>
    <w:rsid w:val="00F44874"/>
    <w:pPr>
      <w:widowControl w:val="0"/>
      <w:overflowPunct/>
      <w:spacing w:line="379" w:lineRule="exact"/>
      <w:jc w:val="center"/>
      <w:textAlignment w:val="auto"/>
    </w:pPr>
    <w:rPr>
      <w:rFonts w:ascii="Bookman Old Style" w:hAnsi="Bookman Old Style"/>
      <w:spacing w:val="0"/>
      <w:sz w:val="24"/>
      <w:szCs w:val="24"/>
      <w:lang w:val="es-ES"/>
    </w:rPr>
  </w:style>
  <w:style w:type="character" w:customStyle="1" w:styleId="FontStyle22">
    <w:name w:val="Font Style22"/>
    <w:uiPriority w:val="99"/>
    <w:rsid w:val="00F44874"/>
    <w:rPr>
      <w:rFonts w:ascii="Bookman Old Style" w:hAnsi="Bookman Old Style" w:cs="Bookman Old Style"/>
      <w:b/>
      <w:bCs/>
      <w:spacing w:val="-10"/>
      <w:sz w:val="26"/>
      <w:szCs w:val="26"/>
    </w:rPr>
  </w:style>
  <w:style w:type="character" w:customStyle="1" w:styleId="SinespaciadoCar">
    <w:name w:val="Sin espaciado Car"/>
    <w:link w:val="Sinespaciado"/>
    <w:uiPriority w:val="1"/>
    <w:locked/>
    <w:rsid w:val="00024490"/>
    <w:rPr>
      <w:rFonts w:ascii="Calibri" w:eastAsia="Times New Roman" w:hAnsi="Calibri" w:cs="Times New Roman"/>
    </w:rPr>
  </w:style>
  <w:style w:type="paragraph" w:styleId="Textosinformato">
    <w:name w:val="Plain Text"/>
    <w:basedOn w:val="Normal"/>
    <w:next w:val="Normal"/>
    <w:link w:val="TextosinformatoCar"/>
    <w:rsid w:val="00024490"/>
    <w:pPr>
      <w:overflowPunct/>
      <w:autoSpaceDE/>
      <w:autoSpaceDN/>
      <w:adjustRightInd/>
      <w:textAlignment w:val="auto"/>
    </w:pPr>
    <w:rPr>
      <w:spacing w:val="0"/>
      <w:sz w:val="24"/>
      <w:szCs w:val="24"/>
      <w:lang w:val="es-ES"/>
    </w:rPr>
  </w:style>
  <w:style w:type="character" w:customStyle="1" w:styleId="TextosinformatoCar">
    <w:name w:val="Texto sin formato Car"/>
    <w:basedOn w:val="Fuentedeprrafopredeter"/>
    <w:link w:val="Textosinformato"/>
    <w:rsid w:val="00024490"/>
    <w:rPr>
      <w:rFonts w:ascii="Arial" w:eastAsia="Times New Roman" w:hAnsi="Arial" w:cs="Times New Roman"/>
      <w:sz w:val="24"/>
      <w:szCs w:val="24"/>
      <w:lang w:eastAsia="es-ES"/>
    </w:rPr>
  </w:style>
  <w:style w:type="character" w:customStyle="1" w:styleId="FontStyle24">
    <w:name w:val="Font Style24"/>
    <w:uiPriority w:val="99"/>
    <w:rsid w:val="00CB13AA"/>
    <w:rPr>
      <w:rFonts w:ascii="Bookman Old Style" w:hAnsi="Bookman Old Style" w:cs="Bookman Old Style"/>
      <w:sz w:val="26"/>
      <w:szCs w:val="26"/>
    </w:rPr>
  </w:style>
  <w:style w:type="paragraph" w:customStyle="1" w:styleId="Style9">
    <w:name w:val="Style9"/>
    <w:basedOn w:val="Normal"/>
    <w:uiPriority w:val="99"/>
    <w:rsid w:val="00D25756"/>
    <w:pPr>
      <w:widowControl w:val="0"/>
      <w:overflowPunct/>
      <w:spacing w:line="492" w:lineRule="exact"/>
      <w:ind w:firstLine="710"/>
      <w:jc w:val="both"/>
      <w:textAlignment w:val="auto"/>
    </w:pPr>
    <w:rPr>
      <w:rFonts w:ascii="Bookman Old Style" w:hAnsi="Bookman Old Style"/>
      <w:spacing w:val="0"/>
      <w:sz w:val="24"/>
      <w:szCs w:val="24"/>
      <w:lang w:val="es-ES"/>
    </w:rPr>
  </w:style>
  <w:style w:type="paragraph" w:customStyle="1" w:styleId="Style4">
    <w:name w:val="Style4"/>
    <w:basedOn w:val="Normal"/>
    <w:uiPriority w:val="99"/>
    <w:rsid w:val="00E93806"/>
    <w:pPr>
      <w:widowControl w:val="0"/>
      <w:overflowPunct/>
      <w:spacing w:line="492" w:lineRule="exact"/>
      <w:ind w:firstLine="725"/>
      <w:jc w:val="both"/>
      <w:textAlignment w:val="auto"/>
    </w:pPr>
    <w:rPr>
      <w:rFonts w:ascii="Bookman Old Style" w:hAnsi="Bookman Old Style"/>
      <w:spacing w:val="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6339">
      <w:bodyDiv w:val="1"/>
      <w:marLeft w:val="0"/>
      <w:marRight w:val="0"/>
      <w:marTop w:val="0"/>
      <w:marBottom w:val="0"/>
      <w:divBdr>
        <w:top w:val="none" w:sz="0" w:space="0" w:color="auto"/>
        <w:left w:val="none" w:sz="0" w:space="0" w:color="auto"/>
        <w:bottom w:val="none" w:sz="0" w:space="0" w:color="auto"/>
        <w:right w:val="none" w:sz="0" w:space="0" w:color="auto"/>
      </w:divBdr>
      <w:divsChild>
        <w:div w:id="469596613">
          <w:marLeft w:val="0"/>
          <w:marRight w:val="0"/>
          <w:marTop w:val="0"/>
          <w:marBottom w:val="0"/>
          <w:divBdr>
            <w:top w:val="none" w:sz="0" w:space="0" w:color="auto"/>
            <w:left w:val="none" w:sz="0" w:space="0" w:color="auto"/>
            <w:bottom w:val="none" w:sz="0" w:space="0" w:color="auto"/>
            <w:right w:val="none" w:sz="0" w:space="0" w:color="auto"/>
          </w:divBdr>
        </w:div>
        <w:div w:id="647249846">
          <w:marLeft w:val="0"/>
          <w:marRight w:val="0"/>
          <w:marTop w:val="0"/>
          <w:marBottom w:val="0"/>
          <w:divBdr>
            <w:top w:val="none" w:sz="0" w:space="0" w:color="auto"/>
            <w:left w:val="none" w:sz="0" w:space="0" w:color="auto"/>
            <w:bottom w:val="none" w:sz="0" w:space="0" w:color="auto"/>
            <w:right w:val="none" w:sz="0" w:space="0" w:color="auto"/>
          </w:divBdr>
        </w:div>
        <w:div w:id="731122141">
          <w:marLeft w:val="0"/>
          <w:marRight w:val="0"/>
          <w:marTop w:val="0"/>
          <w:marBottom w:val="0"/>
          <w:divBdr>
            <w:top w:val="none" w:sz="0" w:space="0" w:color="auto"/>
            <w:left w:val="none" w:sz="0" w:space="0" w:color="auto"/>
            <w:bottom w:val="none" w:sz="0" w:space="0" w:color="auto"/>
            <w:right w:val="none" w:sz="0" w:space="0" w:color="auto"/>
          </w:divBdr>
        </w:div>
        <w:div w:id="750346394">
          <w:marLeft w:val="0"/>
          <w:marRight w:val="0"/>
          <w:marTop w:val="0"/>
          <w:marBottom w:val="0"/>
          <w:divBdr>
            <w:top w:val="none" w:sz="0" w:space="0" w:color="auto"/>
            <w:left w:val="none" w:sz="0" w:space="0" w:color="auto"/>
            <w:bottom w:val="none" w:sz="0" w:space="0" w:color="auto"/>
            <w:right w:val="none" w:sz="0" w:space="0" w:color="auto"/>
          </w:divBdr>
        </w:div>
        <w:div w:id="983780844">
          <w:marLeft w:val="0"/>
          <w:marRight w:val="0"/>
          <w:marTop w:val="0"/>
          <w:marBottom w:val="0"/>
          <w:divBdr>
            <w:top w:val="none" w:sz="0" w:space="0" w:color="auto"/>
            <w:left w:val="none" w:sz="0" w:space="0" w:color="auto"/>
            <w:bottom w:val="none" w:sz="0" w:space="0" w:color="auto"/>
            <w:right w:val="none" w:sz="0" w:space="0" w:color="auto"/>
          </w:divBdr>
        </w:div>
        <w:div w:id="1140341082">
          <w:marLeft w:val="0"/>
          <w:marRight w:val="0"/>
          <w:marTop w:val="0"/>
          <w:marBottom w:val="0"/>
          <w:divBdr>
            <w:top w:val="none" w:sz="0" w:space="0" w:color="auto"/>
            <w:left w:val="none" w:sz="0" w:space="0" w:color="auto"/>
            <w:bottom w:val="none" w:sz="0" w:space="0" w:color="auto"/>
            <w:right w:val="none" w:sz="0" w:space="0" w:color="auto"/>
          </w:divBdr>
        </w:div>
        <w:div w:id="1144591237">
          <w:marLeft w:val="0"/>
          <w:marRight w:val="0"/>
          <w:marTop w:val="0"/>
          <w:marBottom w:val="0"/>
          <w:divBdr>
            <w:top w:val="none" w:sz="0" w:space="0" w:color="auto"/>
            <w:left w:val="none" w:sz="0" w:space="0" w:color="auto"/>
            <w:bottom w:val="none" w:sz="0" w:space="0" w:color="auto"/>
            <w:right w:val="none" w:sz="0" w:space="0" w:color="auto"/>
          </w:divBdr>
        </w:div>
        <w:div w:id="1180125649">
          <w:marLeft w:val="0"/>
          <w:marRight w:val="0"/>
          <w:marTop w:val="0"/>
          <w:marBottom w:val="0"/>
          <w:divBdr>
            <w:top w:val="none" w:sz="0" w:space="0" w:color="auto"/>
            <w:left w:val="none" w:sz="0" w:space="0" w:color="auto"/>
            <w:bottom w:val="none" w:sz="0" w:space="0" w:color="auto"/>
            <w:right w:val="none" w:sz="0" w:space="0" w:color="auto"/>
          </w:divBdr>
        </w:div>
        <w:div w:id="1190487322">
          <w:marLeft w:val="0"/>
          <w:marRight w:val="0"/>
          <w:marTop w:val="0"/>
          <w:marBottom w:val="0"/>
          <w:divBdr>
            <w:top w:val="none" w:sz="0" w:space="0" w:color="auto"/>
            <w:left w:val="none" w:sz="0" w:space="0" w:color="auto"/>
            <w:bottom w:val="none" w:sz="0" w:space="0" w:color="auto"/>
            <w:right w:val="none" w:sz="0" w:space="0" w:color="auto"/>
          </w:divBdr>
        </w:div>
        <w:div w:id="1195968555">
          <w:marLeft w:val="0"/>
          <w:marRight w:val="0"/>
          <w:marTop w:val="0"/>
          <w:marBottom w:val="0"/>
          <w:divBdr>
            <w:top w:val="none" w:sz="0" w:space="0" w:color="auto"/>
            <w:left w:val="none" w:sz="0" w:space="0" w:color="auto"/>
            <w:bottom w:val="none" w:sz="0" w:space="0" w:color="auto"/>
            <w:right w:val="none" w:sz="0" w:space="0" w:color="auto"/>
          </w:divBdr>
        </w:div>
        <w:div w:id="1218007921">
          <w:marLeft w:val="0"/>
          <w:marRight w:val="0"/>
          <w:marTop w:val="0"/>
          <w:marBottom w:val="0"/>
          <w:divBdr>
            <w:top w:val="none" w:sz="0" w:space="0" w:color="auto"/>
            <w:left w:val="none" w:sz="0" w:space="0" w:color="auto"/>
            <w:bottom w:val="none" w:sz="0" w:space="0" w:color="auto"/>
            <w:right w:val="none" w:sz="0" w:space="0" w:color="auto"/>
          </w:divBdr>
        </w:div>
        <w:div w:id="1574199256">
          <w:marLeft w:val="0"/>
          <w:marRight w:val="0"/>
          <w:marTop w:val="0"/>
          <w:marBottom w:val="0"/>
          <w:divBdr>
            <w:top w:val="none" w:sz="0" w:space="0" w:color="auto"/>
            <w:left w:val="none" w:sz="0" w:space="0" w:color="auto"/>
            <w:bottom w:val="none" w:sz="0" w:space="0" w:color="auto"/>
            <w:right w:val="none" w:sz="0" w:space="0" w:color="auto"/>
          </w:divBdr>
        </w:div>
        <w:div w:id="1619752945">
          <w:marLeft w:val="0"/>
          <w:marRight w:val="0"/>
          <w:marTop w:val="0"/>
          <w:marBottom w:val="0"/>
          <w:divBdr>
            <w:top w:val="none" w:sz="0" w:space="0" w:color="auto"/>
            <w:left w:val="none" w:sz="0" w:space="0" w:color="auto"/>
            <w:bottom w:val="none" w:sz="0" w:space="0" w:color="auto"/>
            <w:right w:val="none" w:sz="0" w:space="0" w:color="auto"/>
          </w:divBdr>
        </w:div>
        <w:div w:id="1646350511">
          <w:marLeft w:val="0"/>
          <w:marRight w:val="0"/>
          <w:marTop w:val="0"/>
          <w:marBottom w:val="0"/>
          <w:divBdr>
            <w:top w:val="none" w:sz="0" w:space="0" w:color="auto"/>
            <w:left w:val="none" w:sz="0" w:space="0" w:color="auto"/>
            <w:bottom w:val="none" w:sz="0" w:space="0" w:color="auto"/>
            <w:right w:val="none" w:sz="0" w:space="0" w:color="auto"/>
          </w:divBdr>
        </w:div>
        <w:div w:id="1844006408">
          <w:marLeft w:val="0"/>
          <w:marRight w:val="0"/>
          <w:marTop w:val="0"/>
          <w:marBottom w:val="0"/>
          <w:divBdr>
            <w:top w:val="none" w:sz="0" w:space="0" w:color="auto"/>
            <w:left w:val="none" w:sz="0" w:space="0" w:color="auto"/>
            <w:bottom w:val="none" w:sz="0" w:space="0" w:color="auto"/>
            <w:right w:val="none" w:sz="0" w:space="0" w:color="auto"/>
          </w:divBdr>
        </w:div>
        <w:div w:id="1914780561">
          <w:marLeft w:val="0"/>
          <w:marRight w:val="0"/>
          <w:marTop w:val="0"/>
          <w:marBottom w:val="0"/>
          <w:divBdr>
            <w:top w:val="none" w:sz="0" w:space="0" w:color="auto"/>
            <w:left w:val="none" w:sz="0" w:space="0" w:color="auto"/>
            <w:bottom w:val="none" w:sz="0" w:space="0" w:color="auto"/>
            <w:right w:val="none" w:sz="0" w:space="0" w:color="auto"/>
          </w:divBdr>
        </w:div>
        <w:div w:id="1968390549">
          <w:marLeft w:val="0"/>
          <w:marRight w:val="0"/>
          <w:marTop w:val="0"/>
          <w:marBottom w:val="0"/>
          <w:divBdr>
            <w:top w:val="none" w:sz="0" w:space="0" w:color="auto"/>
            <w:left w:val="none" w:sz="0" w:space="0" w:color="auto"/>
            <w:bottom w:val="none" w:sz="0" w:space="0" w:color="auto"/>
            <w:right w:val="none" w:sz="0" w:space="0" w:color="auto"/>
          </w:divBdr>
        </w:div>
        <w:div w:id="2005236816">
          <w:marLeft w:val="0"/>
          <w:marRight w:val="0"/>
          <w:marTop w:val="0"/>
          <w:marBottom w:val="0"/>
          <w:divBdr>
            <w:top w:val="none" w:sz="0" w:space="0" w:color="auto"/>
            <w:left w:val="none" w:sz="0" w:space="0" w:color="auto"/>
            <w:bottom w:val="none" w:sz="0" w:space="0" w:color="auto"/>
            <w:right w:val="none" w:sz="0" w:space="0" w:color="auto"/>
          </w:divBdr>
        </w:div>
        <w:div w:id="2084377175">
          <w:marLeft w:val="0"/>
          <w:marRight w:val="0"/>
          <w:marTop w:val="0"/>
          <w:marBottom w:val="0"/>
          <w:divBdr>
            <w:top w:val="none" w:sz="0" w:space="0" w:color="auto"/>
            <w:left w:val="none" w:sz="0" w:space="0" w:color="auto"/>
            <w:bottom w:val="none" w:sz="0" w:space="0" w:color="auto"/>
            <w:right w:val="none" w:sz="0" w:space="0" w:color="auto"/>
          </w:divBdr>
        </w:div>
      </w:divsChild>
    </w:div>
    <w:div w:id="444735008">
      <w:bodyDiv w:val="1"/>
      <w:marLeft w:val="0"/>
      <w:marRight w:val="0"/>
      <w:marTop w:val="0"/>
      <w:marBottom w:val="0"/>
      <w:divBdr>
        <w:top w:val="none" w:sz="0" w:space="0" w:color="auto"/>
        <w:left w:val="none" w:sz="0" w:space="0" w:color="auto"/>
        <w:bottom w:val="none" w:sz="0" w:space="0" w:color="auto"/>
        <w:right w:val="none" w:sz="0" w:space="0" w:color="auto"/>
      </w:divBdr>
    </w:div>
    <w:div w:id="716855169">
      <w:bodyDiv w:val="1"/>
      <w:marLeft w:val="0"/>
      <w:marRight w:val="0"/>
      <w:marTop w:val="0"/>
      <w:marBottom w:val="0"/>
      <w:divBdr>
        <w:top w:val="none" w:sz="0" w:space="0" w:color="auto"/>
        <w:left w:val="none" w:sz="0" w:space="0" w:color="auto"/>
        <w:bottom w:val="none" w:sz="0" w:space="0" w:color="auto"/>
        <w:right w:val="none" w:sz="0" w:space="0" w:color="auto"/>
      </w:divBdr>
    </w:div>
    <w:div w:id="764810408">
      <w:bodyDiv w:val="1"/>
      <w:marLeft w:val="0"/>
      <w:marRight w:val="0"/>
      <w:marTop w:val="0"/>
      <w:marBottom w:val="0"/>
      <w:divBdr>
        <w:top w:val="none" w:sz="0" w:space="0" w:color="auto"/>
        <w:left w:val="none" w:sz="0" w:space="0" w:color="auto"/>
        <w:bottom w:val="none" w:sz="0" w:space="0" w:color="auto"/>
        <w:right w:val="none" w:sz="0" w:space="0" w:color="auto"/>
      </w:divBdr>
    </w:div>
    <w:div w:id="862785014">
      <w:bodyDiv w:val="1"/>
      <w:marLeft w:val="0"/>
      <w:marRight w:val="0"/>
      <w:marTop w:val="0"/>
      <w:marBottom w:val="0"/>
      <w:divBdr>
        <w:top w:val="none" w:sz="0" w:space="0" w:color="auto"/>
        <w:left w:val="none" w:sz="0" w:space="0" w:color="auto"/>
        <w:bottom w:val="none" w:sz="0" w:space="0" w:color="auto"/>
        <w:right w:val="none" w:sz="0" w:space="0" w:color="auto"/>
      </w:divBdr>
    </w:div>
    <w:div w:id="925310900">
      <w:bodyDiv w:val="1"/>
      <w:marLeft w:val="0"/>
      <w:marRight w:val="0"/>
      <w:marTop w:val="0"/>
      <w:marBottom w:val="0"/>
      <w:divBdr>
        <w:top w:val="none" w:sz="0" w:space="0" w:color="auto"/>
        <w:left w:val="none" w:sz="0" w:space="0" w:color="auto"/>
        <w:bottom w:val="none" w:sz="0" w:space="0" w:color="auto"/>
        <w:right w:val="none" w:sz="0" w:space="0" w:color="auto"/>
      </w:divBdr>
    </w:div>
    <w:div w:id="1045914281">
      <w:bodyDiv w:val="1"/>
      <w:marLeft w:val="0"/>
      <w:marRight w:val="0"/>
      <w:marTop w:val="0"/>
      <w:marBottom w:val="0"/>
      <w:divBdr>
        <w:top w:val="none" w:sz="0" w:space="0" w:color="auto"/>
        <w:left w:val="none" w:sz="0" w:space="0" w:color="auto"/>
        <w:bottom w:val="none" w:sz="0" w:space="0" w:color="auto"/>
        <w:right w:val="none" w:sz="0" w:space="0" w:color="auto"/>
      </w:divBdr>
    </w:div>
    <w:div w:id="1174958580">
      <w:bodyDiv w:val="1"/>
      <w:marLeft w:val="0"/>
      <w:marRight w:val="0"/>
      <w:marTop w:val="0"/>
      <w:marBottom w:val="0"/>
      <w:divBdr>
        <w:top w:val="none" w:sz="0" w:space="0" w:color="auto"/>
        <w:left w:val="none" w:sz="0" w:space="0" w:color="auto"/>
        <w:bottom w:val="none" w:sz="0" w:space="0" w:color="auto"/>
        <w:right w:val="none" w:sz="0" w:space="0" w:color="auto"/>
      </w:divBdr>
    </w:div>
    <w:div w:id="1177697184">
      <w:bodyDiv w:val="1"/>
      <w:marLeft w:val="0"/>
      <w:marRight w:val="0"/>
      <w:marTop w:val="0"/>
      <w:marBottom w:val="0"/>
      <w:divBdr>
        <w:top w:val="none" w:sz="0" w:space="0" w:color="auto"/>
        <w:left w:val="none" w:sz="0" w:space="0" w:color="auto"/>
        <w:bottom w:val="none" w:sz="0" w:space="0" w:color="auto"/>
        <w:right w:val="none" w:sz="0" w:space="0" w:color="auto"/>
      </w:divBdr>
    </w:div>
    <w:div w:id="1318145738">
      <w:bodyDiv w:val="1"/>
      <w:marLeft w:val="0"/>
      <w:marRight w:val="0"/>
      <w:marTop w:val="0"/>
      <w:marBottom w:val="0"/>
      <w:divBdr>
        <w:top w:val="none" w:sz="0" w:space="0" w:color="auto"/>
        <w:left w:val="none" w:sz="0" w:space="0" w:color="auto"/>
        <w:bottom w:val="none" w:sz="0" w:space="0" w:color="auto"/>
        <w:right w:val="none" w:sz="0" w:space="0" w:color="auto"/>
      </w:divBdr>
    </w:div>
    <w:div w:id="1511945624">
      <w:bodyDiv w:val="1"/>
      <w:marLeft w:val="0"/>
      <w:marRight w:val="0"/>
      <w:marTop w:val="0"/>
      <w:marBottom w:val="0"/>
      <w:divBdr>
        <w:top w:val="none" w:sz="0" w:space="0" w:color="auto"/>
        <w:left w:val="none" w:sz="0" w:space="0" w:color="auto"/>
        <w:bottom w:val="none" w:sz="0" w:space="0" w:color="auto"/>
        <w:right w:val="none" w:sz="0" w:space="0" w:color="auto"/>
      </w:divBdr>
      <w:divsChild>
        <w:div w:id="225144582">
          <w:marLeft w:val="0"/>
          <w:marRight w:val="0"/>
          <w:marTop w:val="0"/>
          <w:marBottom w:val="0"/>
          <w:divBdr>
            <w:top w:val="none" w:sz="0" w:space="0" w:color="auto"/>
            <w:left w:val="none" w:sz="0" w:space="0" w:color="auto"/>
            <w:bottom w:val="none" w:sz="0" w:space="0" w:color="auto"/>
            <w:right w:val="none" w:sz="0" w:space="0" w:color="auto"/>
          </w:divBdr>
          <w:divsChild>
            <w:div w:id="1966764834">
              <w:marLeft w:val="0"/>
              <w:marRight w:val="0"/>
              <w:marTop w:val="0"/>
              <w:marBottom w:val="0"/>
              <w:divBdr>
                <w:top w:val="none" w:sz="0" w:space="0" w:color="auto"/>
                <w:left w:val="none" w:sz="0" w:space="0" w:color="auto"/>
                <w:bottom w:val="none" w:sz="0" w:space="0" w:color="auto"/>
                <w:right w:val="none" w:sz="0" w:space="0" w:color="auto"/>
              </w:divBdr>
              <w:divsChild>
                <w:div w:id="1448546658">
                  <w:marLeft w:val="0"/>
                  <w:marRight w:val="0"/>
                  <w:marTop w:val="0"/>
                  <w:marBottom w:val="0"/>
                  <w:divBdr>
                    <w:top w:val="none" w:sz="0" w:space="0" w:color="auto"/>
                    <w:left w:val="none" w:sz="0" w:space="0" w:color="auto"/>
                    <w:bottom w:val="none" w:sz="0" w:space="0" w:color="auto"/>
                    <w:right w:val="none" w:sz="0" w:space="0" w:color="auto"/>
                  </w:divBdr>
                  <w:divsChild>
                    <w:div w:id="389693376">
                      <w:marLeft w:val="0"/>
                      <w:marRight w:val="0"/>
                      <w:marTop w:val="0"/>
                      <w:marBottom w:val="0"/>
                      <w:divBdr>
                        <w:top w:val="none" w:sz="0" w:space="0" w:color="auto"/>
                        <w:left w:val="none" w:sz="0" w:space="0" w:color="auto"/>
                        <w:bottom w:val="none" w:sz="0" w:space="0" w:color="auto"/>
                        <w:right w:val="none" w:sz="0" w:space="0" w:color="auto"/>
                      </w:divBdr>
                      <w:divsChild>
                        <w:div w:id="624165415">
                          <w:marLeft w:val="0"/>
                          <w:marRight w:val="0"/>
                          <w:marTop w:val="0"/>
                          <w:marBottom w:val="0"/>
                          <w:divBdr>
                            <w:top w:val="none" w:sz="0" w:space="0" w:color="auto"/>
                            <w:left w:val="none" w:sz="0" w:space="0" w:color="auto"/>
                            <w:bottom w:val="none" w:sz="0" w:space="0" w:color="auto"/>
                            <w:right w:val="none" w:sz="0" w:space="0" w:color="auto"/>
                          </w:divBdr>
                        </w:div>
                      </w:divsChild>
                    </w:div>
                    <w:div w:id="416826437">
                      <w:marLeft w:val="0"/>
                      <w:marRight w:val="0"/>
                      <w:marTop w:val="0"/>
                      <w:marBottom w:val="0"/>
                      <w:divBdr>
                        <w:top w:val="none" w:sz="0" w:space="0" w:color="auto"/>
                        <w:left w:val="none" w:sz="0" w:space="0" w:color="auto"/>
                        <w:bottom w:val="none" w:sz="0" w:space="0" w:color="auto"/>
                        <w:right w:val="none" w:sz="0" w:space="0" w:color="auto"/>
                      </w:divBdr>
                      <w:divsChild>
                        <w:div w:id="512766970">
                          <w:marLeft w:val="0"/>
                          <w:marRight w:val="0"/>
                          <w:marTop w:val="0"/>
                          <w:marBottom w:val="0"/>
                          <w:divBdr>
                            <w:top w:val="none" w:sz="0" w:space="0" w:color="auto"/>
                            <w:left w:val="none" w:sz="0" w:space="0" w:color="auto"/>
                            <w:bottom w:val="none" w:sz="0" w:space="0" w:color="auto"/>
                            <w:right w:val="none" w:sz="0" w:space="0" w:color="auto"/>
                          </w:divBdr>
                          <w:divsChild>
                            <w:div w:id="597130837">
                              <w:marLeft w:val="0"/>
                              <w:marRight w:val="0"/>
                              <w:marTop w:val="0"/>
                              <w:marBottom w:val="0"/>
                              <w:divBdr>
                                <w:top w:val="none" w:sz="0" w:space="0" w:color="auto"/>
                                <w:left w:val="none" w:sz="0" w:space="0" w:color="auto"/>
                                <w:bottom w:val="none" w:sz="0" w:space="0" w:color="auto"/>
                                <w:right w:val="none" w:sz="0" w:space="0" w:color="auto"/>
                              </w:divBdr>
                              <w:divsChild>
                                <w:div w:id="1194879721">
                                  <w:marLeft w:val="0"/>
                                  <w:marRight w:val="0"/>
                                  <w:marTop w:val="0"/>
                                  <w:marBottom w:val="0"/>
                                  <w:divBdr>
                                    <w:top w:val="none" w:sz="0" w:space="0" w:color="auto"/>
                                    <w:left w:val="none" w:sz="0" w:space="0" w:color="auto"/>
                                    <w:bottom w:val="none" w:sz="0" w:space="0" w:color="auto"/>
                                    <w:right w:val="none" w:sz="0" w:space="0" w:color="auto"/>
                                  </w:divBdr>
                                  <w:divsChild>
                                    <w:div w:id="135600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737623">
      <w:bodyDiv w:val="1"/>
      <w:marLeft w:val="0"/>
      <w:marRight w:val="0"/>
      <w:marTop w:val="0"/>
      <w:marBottom w:val="0"/>
      <w:divBdr>
        <w:top w:val="none" w:sz="0" w:space="0" w:color="auto"/>
        <w:left w:val="none" w:sz="0" w:space="0" w:color="auto"/>
        <w:bottom w:val="none" w:sz="0" w:space="0" w:color="auto"/>
        <w:right w:val="none" w:sz="0" w:space="0" w:color="auto"/>
      </w:divBdr>
    </w:div>
    <w:div w:id="1656882479">
      <w:bodyDiv w:val="1"/>
      <w:marLeft w:val="0"/>
      <w:marRight w:val="0"/>
      <w:marTop w:val="0"/>
      <w:marBottom w:val="0"/>
      <w:divBdr>
        <w:top w:val="none" w:sz="0" w:space="0" w:color="auto"/>
        <w:left w:val="none" w:sz="0" w:space="0" w:color="auto"/>
        <w:bottom w:val="none" w:sz="0" w:space="0" w:color="auto"/>
        <w:right w:val="none" w:sz="0" w:space="0" w:color="auto"/>
      </w:divBdr>
      <w:divsChild>
        <w:div w:id="29191649">
          <w:marLeft w:val="0"/>
          <w:marRight w:val="0"/>
          <w:marTop w:val="0"/>
          <w:marBottom w:val="0"/>
          <w:divBdr>
            <w:top w:val="none" w:sz="0" w:space="0" w:color="auto"/>
            <w:left w:val="none" w:sz="0" w:space="0" w:color="auto"/>
            <w:bottom w:val="none" w:sz="0" w:space="0" w:color="auto"/>
            <w:right w:val="none" w:sz="0" w:space="0" w:color="auto"/>
          </w:divBdr>
        </w:div>
        <w:div w:id="512383732">
          <w:marLeft w:val="0"/>
          <w:marRight w:val="0"/>
          <w:marTop w:val="0"/>
          <w:marBottom w:val="0"/>
          <w:divBdr>
            <w:top w:val="none" w:sz="0" w:space="0" w:color="auto"/>
            <w:left w:val="none" w:sz="0" w:space="0" w:color="auto"/>
            <w:bottom w:val="none" w:sz="0" w:space="0" w:color="auto"/>
            <w:right w:val="none" w:sz="0" w:space="0" w:color="auto"/>
          </w:divBdr>
        </w:div>
        <w:div w:id="516041139">
          <w:marLeft w:val="0"/>
          <w:marRight w:val="0"/>
          <w:marTop w:val="0"/>
          <w:marBottom w:val="0"/>
          <w:divBdr>
            <w:top w:val="none" w:sz="0" w:space="0" w:color="auto"/>
            <w:left w:val="none" w:sz="0" w:space="0" w:color="auto"/>
            <w:bottom w:val="none" w:sz="0" w:space="0" w:color="auto"/>
            <w:right w:val="none" w:sz="0" w:space="0" w:color="auto"/>
          </w:divBdr>
        </w:div>
        <w:div w:id="590892217">
          <w:marLeft w:val="0"/>
          <w:marRight w:val="0"/>
          <w:marTop w:val="0"/>
          <w:marBottom w:val="0"/>
          <w:divBdr>
            <w:top w:val="none" w:sz="0" w:space="0" w:color="auto"/>
            <w:left w:val="none" w:sz="0" w:space="0" w:color="auto"/>
            <w:bottom w:val="none" w:sz="0" w:space="0" w:color="auto"/>
            <w:right w:val="none" w:sz="0" w:space="0" w:color="auto"/>
          </w:divBdr>
        </w:div>
        <w:div w:id="657147669">
          <w:marLeft w:val="0"/>
          <w:marRight w:val="0"/>
          <w:marTop w:val="0"/>
          <w:marBottom w:val="0"/>
          <w:divBdr>
            <w:top w:val="none" w:sz="0" w:space="0" w:color="auto"/>
            <w:left w:val="none" w:sz="0" w:space="0" w:color="auto"/>
            <w:bottom w:val="none" w:sz="0" w:space="0" w:color="auto"/>
            <w:right w:val="none" w:sz="0" w:space="0" w:color="auto"/>
          </w:divBdr>
        </w:div>
        <w:div w:id="796460125">
          <w:marLeft w:val="0"/>
          <w:marRight w:val="0"/>
          <w:marTop w:val="0"/>
          <w:marBottom w:val="0"/>
          <w:divBdr>
            <w:top w:val="none" w:sz="0" w:space="0" w:color="auto"/>
            <w:left w:val="none" w:sz="0" w:space="0" w:color="auto"/>
            <w:bottom w:val="none" w:sz="0" w:space="0" w:color="auto"/>
            <w:right w:val="none" w:sz="0" w:space="0" w:color="auto"/>
          </w:divBdr>
        </w:div>
        <w:div w:id="845363809">
          <w:marLeft w:val="0"/>
          <w:marRight w:val="0"/>
          <w:marTop w:val="0"/>
          <w:marBottom w:val="0"/>
          <w:divBdr>
            <w:top w:val="none" w:sz="0" w:space="0" w:color="auto"/>
            <w:left w:val="none" w:sz="0" w:space="0" w:color="auto"/>
            <w:bottom w:val="none" w:sz="0" w:space="0" w:color="auto"/>
            <w:right w:val="none" w:sz="0" w:space="0" w:color="auto"/>
          </w:divBdr>
        </w:div>
        <w:div w:id="916549017">
          <w:marLeft w:val="0"/>
          <w:marRight w:val="0"/>
          <w:marTop w:val="0"/>
          <w:marBottom w:val="0"/>
          <w:divBdr>
            <w:top w:val="none" w:sz="0" w:space="0" w:color="auto"/>
            <w:left w:val="none" w:sz="0" w:space="0" w:color="auto"/>
            <w:bottom w:val="none" w:sz="0" w:space="0" w:color="auto"/>
            <w:right w:val="none" w:sz="0" w:space="0" w:color="auto"/>
          </w:divBdr>
        </w:div>
        <w:div w:id="1045565323">
          <w:marLeft w:val="0"/>
          <w:marRight w:val="0"/>
          <w:marTop w:val="0"/>
          <w:marBottom w:val="0"/>
          <w:divBdr>
            <w:top w:val="none" w:sz="0" w:space="0" w:color="auto"/>
            <w:left w:val="none" w:sz="0" w:space="0" w:color="auto"/>
            <w:bottom w:val="none" w:sz="0" w:space="0" w:color="auto"/>
            <w:right w:val="none" w:sz="0" w:space="0" w:color="auto"/>
          </w:divBdr>
        </w:div>
        <w:div w:id="1088816119">
          <w:marLeft w:val="0"/>
          <w:marRight w:val="0"/>
          <w:marTop w:val="0"/>
          <w:marBottom w:val="0"/>
          <w:divBdr>
            <w:top w:val="none" w:sz="0" w:space="0" w:color="auto"/>
            <w:left w:val="none" w:sz="0" w:space="0" w:color="auto"/>
            <w:bottom w:val="none" w:sz="0" w:space="0" w:color="auto"/>
            <w:right w:val="none" w:sz="0" w:space="0" w:color="auto"/>
          </w:divBdr>
        </w:div>
        <w:div w:id="1129397854">
          <w:marLeft w:val="0"/>
          <w:marRight w:val="0"/>
          <w:marTop w:val="0"/>
          <w:marBottom w:val="0"/>
          <w:divBdr>
            <w:top w:val="none" w:sz="0" w:space="0" w:color="auto"/>
            <w:left w:val="none" w:sz="0" w:space="0" w:color="auto"/>
            <w:bottom w:val="none" w:sz="0" w:space="0" w:color="auto"/>
            <w:right w:val="none" w:sz="0" w:space="0" w:color="auto"/>
          </w:divBdr>
        </w:div>
        <w:div w:id="1172648274">
          <w:marLeft w:val="0"/>
          <w:marRight w:val="0"/>
          <w:marTop w:val="0"/>
          <w:marBottom w:val="0"/>
          <w:divBdr>
            <w:top w:val="none" w:sz="0" w:space="0" w:color="auto"/>
            <w:left w:val="none" w:sz="0" w:space="0" w:color="auto"/>
            <w:bottom w:val="none" w:sz="0" w:space="0" w:color="auto"/>
            <w:right w:val="none" w:sz="0" w:space="0" w:color="auto"/>
          </w:divBdr>
        </w:div>
        <w:div w:id="1271427528">
          <w:marLeft w:val="0"/>
          <w:marRight w:val="0"/>
          <w:marTop w:val="0"/>
          <w:marBottom w:val="0"/>
          <w:divBdr>
            <w:top w:val="none" w:sz="0" w:space="0" w:color="auto"/>
            <w:left w:val="none" w:sz="0" w:space="0" w:color="auto"/>
            <w:bottom w:val="none" w:sz="0" w:space="0" w:color="auto"/>
            <w:right w:val="none" w:sz="0" w:space="0" w:color="auto"/>
          </w:divBdr>
        </w:div>
        <w:div w:id="1299989885">
          <w:marLeft w:val="0"/>
          <w:marRight w:val="0"/>
          <w:marTop w:val="0"/>
          <w:marBottom w:val="0"/>
          <w:divBdr>
            <w:top w:val="none" w:sz="0" w:space="0" w:color="auto"/>
            <w:left w:val="none" w:sz="0" w:space="0" w:color="auto"/>
            <w:bottom w:val="none" w:sz="0" w:space="0" w:color="auto"/>
            <w:right w:val="none" w:sz="0" w:space="0" w:color="auto"/>
          </w:divBdr>
        </w:div>
        <w:div w:id="1549681089">
          <w:marLeft w:val="0"/>
          <w:marRight w:val="0"/>
          <w:marTop w:val="0"/>
          <w:marBottom w:val="0"/>
          <w:divBdr>
            <w:top w:val="none" w:sz="0" w:space="0" w:color="auto"/>
            <w:left w:val="none" w:sz="0" w:space="0" w:color="auto"/>
            <w:bottom w:val="none" w:sz="0" w:space="0" w:color="auto"/>
            <w:right w:val="none" w:sz="0" w:space="0" w:color="auto"/>
          </w:divBdr>
        </w:div>
        <w:div w:id="1819346327">
          <w:marLeft w:val="0"/>
          <w:marRight w:val="0"/>
          <w:marTop w:val="0"/>
          <w:marBottom w:val="0"/>
          <w:divBdr>
            <w:top w:val="none" w:sz="0" w:space="0" w:color="auto"/>
            <w:left w:val="none" w:sz="0" w:space="0" w:color="auto"/>
            <w:bottom w:val="none" w:sz="0" w:space="0" w:color="auto"/>
            <w:right w:val="none" w:sz="0" w:space="0" w:color="auto"/>
          </w:divBdr>
        </w:div>
        <w:div w:id="1833520435">
          <w:marLeft w:val="0"/>
          <w:marRight w:val="0"/>
          <w:marTop w:val="0"/>
          <w:marBottom w:val="0"/>
          <w:divBdr>
            <w:top w:val="none" w:sz="0" w:space="0" w:color="auto"/>
            <w:left w:val="none" w:sz="0" w:space="0" w:color="auto"/>
            <w:bottom w:val="none" w:sz="0" w:space="0" w:color="auto"/>
            <w:right w:val="none" w:sz="0" w:space="0" w:color="auto"/>
          </w:divBdr>
        </w:div>
        <w:div w:id="1894995852">
          <w:marLeft w:val="0"/>
          <w:marRight w:val="0"/>
          <w:marTop w:val="0"/>
          <w:marBottom w:val="0"/>
          <w:divBdr>
            <w:top w:val="none" w:sz="0" w:space="0" w:color="auto"/>
            <w:left w:val="none" w:sz="0" w:space="0" w:color="auto"/>
            <w:bottom w:val="none" w:sz="0" w:space="0" w:color="auto"/>
            <w:right w:val="none" w:sz="0" w:space="0" w:color="auto"/>
          </w:divBdr>
        </w:div>
        <w:div w:id="1967617445">
          <w:marLeft w:val="0"/>
          <w:marRight w:val="0"/>
          <w:marTop w:val="0"/>
          <w:marBottom w:val="0"/>
          <w:divBdr>
            <w:top w:val="none" w:sz="0" w:space="0" w:color="auto"/>
            <w:left w:val="none" w:sz="0" w:space="0" w:color="auto"/>
            <w:bottom w:val="none" w:sz="0" w:space="0" w:color="auto"/>
            <w:right w:val="none" w:sz="0" w:space="0" w:color="auto"/>
          </w:divBdr>
        </w:div>
        <w:div w:id="2009598754">
          <w:marLeft w:val="0"/>
          <w:marRight w:val="0"/>
          <w:marTop w:val="0"/>
          <w:marBottom w:val="0"/>
          <w:divBdr>
            <w:top w:val="none" w:sz="0" w:space="0" w:color="auto"/>
            <w:left w:val="none" w:sz="0" w:space="0" w:color="auto"/>
            <w:bottom w:val="none" w:sz="0" w:space="0" w:color="auto"/>
            <w:right w:val="none" w:sz="0" w:space="0" w:color="auto"/>
          </w:divBdr>
        </w:div>
        <w:div w:id="2072265863">
          <w:marLeft w:val="0"/>
          <w:marRight w:val="0"/>
          <w:marTop w:val="0"/>
          <w:marBottom w:val="0"/>
          <w:divBdr>
            <w:top w:val="none" w:sz="0" w:space="0" w:color="auto"/>
            <w:left w:val="none" w:sz="0" w:space="0" w:color="auto"/>
            <w:bottom w:val="none" w:sz="0" w:space="0" w:color="auto"/>
            <w:right w:val="none" w:sz="0" w:space="0" w:color="auto"/>
          </w:divBdr>
        </w:div>
        <w:div w:id="2074304041">
          <w:marLeft w:val="0"/>
          <w:marRight w:val="0"/>
          <w:marTop w:val="0"/>
          <w:marBottom w:val="0"/>
          <w:divBdr>
            <w:top w:val="none" w:sz="0" w:space="0" w:color="auto"/>
            <w:left w:val="none" w:sz="0" w:space="0" w:color="auto"/>
            <w:bottom w:val="none" w:sz="0" w:space="0" w:color="auto"/>
            <w:right w:val="none" w:sz="0" w:space="0" w:color="auto"/>
          </w:divBdr>
        </w:div>
        <w:div w:id="2089115694">
          <w:marLeft w:val="0"/>
          <w:marRight w:val="0"/>
          <w:marTop w:val="0"/>
          <w:marBottom w:val="0"/>
          <w:divBdr>
            <w:top w:val="none" w:sz="0" w:space="0" w:color="auto"/>
            <w:left w:val="none" w:sz="0" w:space="0" w:color="auto"/>
            <w:bottom w:val="none" w:sz="0" w:space="0" w:color="auto"/>
            <w:right w:val="none" w:sz="0" w:space="0" w:color="auto"/>
          </w:divBdr>
        </w:div>
      </w:divsChild>
    </w:div>
    <w:div w:id="1683123886">
      <w:bodyDiv w:val="1"/>
      <w:marLeft w:val="0"/>
      <w:marRight w:val="0"/>
      <w:marTop w:val="0"/>
      <w:marBottom w:val="0"/>
      <w:divBdr>
        <w:top w:val="none" w:sz="0" w:space="0" w:color="auto"/>
        <w:left w:val="none" w:sz="0" w:space="0" w:color="auto"/>
        <w:bottom w:val="none" w:sz="0" w:space="0" w:color="auto"/>
        <w:right w:val="none" w:sz="0" w:space="0" w:color="auto"/>
      </w:divBdr>
      <w:divsChild>
        <w:div w:id="776682803">
          <w:marLeft w:val="0"/>
          <w:marRight w:val="0"/>
          <w:marTop w:val="0"/>
          <w:marBottom w:val="0"/>
          <w:divBdr>
            <w:top w:val="none" w:sz="0" w:space="0" w:color="auto"/>
            <w:left w:val="none" w:sz="0" w:space="0" w:color="auto"/>
            <w:bottom w:val="none" w:sz="0" w:space="0" w:color="auto"/>
            <w:right w:val="none" w:sz="0" w:space="0" w:color="auto"/>
          </w:divBdr>
          <w:divsChild>
            <w:div w:id="305015382">
              <w:marLeft w:val="0"/>
              <w:marRight w:val="0"/>
              <w:marTop w:val="0"/>
              <w:marBottom w:val="0"/>
              <w:divBdr>
                <w:top w:val="none" w:sz="0" w:space="0" w:color="auto"/>
                <w:left w:val="none" w:sz="0" w:space="0" w:color="auto"/>
                <w:bottom w:val="none" w:sz="0" w:space="0" w:color="auto"/>
                <w:right w:val="none" w:sz="0" w:space="0" w:color="auto"/>
              </w:divBdr>
              <w:divsChild>
                <w:div w:id="2016034334">
                  <w:marLeft w:val="0"/>
                  <w:marRight w:val="0"/>
                  <w:marTop w:val="0"/>
                  <w:marBottom w:val="0"/>
                  <w:divBdr>
                    <w:top w:val="none" w:sz="0" w:space="0" w:color="auto"/>
                    <w:left w:val="none" w:sz="0" w:space="0" w:color="auto"/>
                    <w:bottom w:val="none" w:sz="0" w:space="0" w:color="auto"/>
                    <w:right w:val="none" w:sz="0" w:space="0" w:color="auto"/>
                  </w:divBdr>
                  <w:divsChild>
                    <w:div w:id="96516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31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ecretariasenado.gov.co/senado/basedoc/ley_1453_2011.html" TargetMode="External"/><Relationship Id="rId1" Type="http://schemas.openxmlformats.org/officeDocument/2006/relationships/hyperlink" Target="http://www.secretariasenado.gov.co/senado/basedoc/ley_0793_20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F73EEA2D3F3654EBB719948DDDC6038" ma:contentTypeVersion="17" ma:contentTypeDescription="Crear nuevo documento." ma:contentTypeScope="" ma:versionID="1fc0ebc078fd120b29d0d8fcdfdf0869">
  <xsd:schema xmlns:xsd="http://www.w3.org/2001/XMLSchema" xmlns:xs="http://www.w3.org/2001/XMLSchema" xmlns:p="http://schemas.microsoft.com/office/2006/metadata/properties" xmlns:ns2="576132df-cb07-4b46-92af-e9ecbfa60149" xmlns:ns3="b65346e9-8f25-4d6c-9a6c-6b0ad6f1cc2e" targetNamespace="http://schemas.microsoft.com/office/2006/metadata/properties" ma:root="true" ma:fieldsID="57a0c27af4b617fc86e9c71076320edd" ns2:_="" ns3:_="">
    <xsd:import namespace="576132df-cb07-4b46-92af-e9ecbfa60149"/>
    <xsd:import namespace="b65346e9-8f25-4d6c-9a6c-6b0ad6f1cc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132df-cb07-4b46-92af-e9ecbfa60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31b1466-370e-4680-8e95-6fcae1d3fa8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5346e9-8f25-4d6c-9a6c-6b0ad6f1cc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92840a-35ac-48a0-ab8d-cb11cd29812b}" ma:internalName="TaxCatchAll" ma:showField="CatchAllData" ma:web="b65346e9-8f25-4d6c-9a6c-6b0ad6f1cc2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6132df-cb07-4b46-92af-e9ecbfa60149">
      <Terms xmlns="http://schemas.microsoft.com/office/infopath/2007/PartnerControls"/>
    </lcf76f155ced4ddcb4097134ff3c332f>
    <TaxCatchAll xmlns="b65346e9-8f25-4d6c-9a6c-6b0ad6f1cc2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01AC1-F96F-4E83-AE2B-14036F0C1D6C}">
  <ds:schemaRefs>
    <ds:schemaRef ds:uri="http://schemas.microsoft.com/sharepoint/v3/contenttype/forms"/>
  </ds:schemaRefs>
</ds:datastoreItem>
</file>

<file path=customXml/itemProps2.xml><?xml version="1.0" encoding="utf-8"?>
<ds:datastoreItem xmlns:ds="http://schemas.openxmlformats.org/officeDocument/2006/customXml" ds:itemID="{3C835CA2-395B-4B95-8CCF-342EF042D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132df-cb07-4b46-92af-e9ecbfa60149"/>
    <ds:schemaRef ds:uri="b65346e9-8f25-4d6c-9a6c-6b0ad6f1c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C8001E-E098-4796-843B-CEB9ED1822B2}">
  <ds:schemaRefs>
    <ds:schemaRef ds:uri="http://schemas.microsoft.com/office/2006/metadata/properties"/>
    <ds:schemaRef ds:uri="http://schemas.microsoft.com/office/infopath/2007/PartnerControls"/>
    <ds:schemaRef ds:uri="576132df-cb07-4b46-92af-e9ecbfa60149"/>
    <ds:schemaRef ds:uri="b65346e9-8f25-4d6c-9a6c-6b0ad6f1cc2e"/>
  </ds:schemaRefs>
</ds:datastoreItem>
</file>

<file path=customXml/itemProps4.xml><?xml version="1.0" encoding="utf-8"?>
<ds:datastoreItem xmlns:ds="http://schemas.openxmlformats.org/officeDocument/2006/customXml" ds:itemID="{7E9FB624-3680-47F5-B974-16D8D539F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2548</Words>
  <Characters>14017</Characters>
  <Application>Microsoft Office Word</Application>
  <DocSecurity>0</DocSecurity>
  <Lines>116</Lines>
  <Paragraphs>33</Paragraphs>
  <ScaleCrop>false</ScaleCrop>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Ximena Gonzalez Olave</dc:creator>
  <cp:keywords/>
  <dc:description/>
  <cp:lastModifiedBy>Julian Restrepo Bechara</cp:lastModifiedBy>
  <cp:revision>11</cp:revision>
  <cp:lastPrinted>2026-07-08T21:17:00Z</cp:lastPrinted>
  <dcterms:created xsi:type="dcterms:W3CDTF">2026-05-19T14:30:00Z</dcterms:created>
  <dcterms:modified xsi:type="dcterms:W3CDTF">2026-07-08T21:17:00Z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0x0101004F73EEA2D3F3654EBB719948DDDC6038</vt:lpwstr>
  </property>
  <property fmtid="{D5CDD505-2E9C-101B-9397-08002B2CF9AE}" pid="3" name="MediaServiceImageTags">
    <vt:lpwstr/>
  </property>
</Properties>
</file>