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E8941" w14:textId="77777777" w:rsidR="007021C0" w:rsidRPr="007021C0" w:rsidRDefault="007021C0" w:rsidP="001B2CE5">
      <w:pPr>
        <w:widowControl w:val="0"/>
        <w:spacing w:after="0" w:line="360" w:lineRule="auto"/>
        <w:jc w:val="center"/>
        <w:rPr>
          <w:rFonts w:ascii="Bookman Old Style" w:eastAsia="Times New Roman" w:hAnsi="Bookman Old Style"/>
          <w:b/>
          <w:spacing w:val="-4"/>
          <w:sz w:val="28"/>
          <w:szCs w:val="28"/>
          <w:lang w:val="es-ES_tradnl" w:eastAsia="es-ES"/>
        </w:rPr>
      </w:pPr>
    </w:p>
    <w:p w14:paraId="1CBCF748" w14:textId="78088A4C" w:rsidR="001B2CE5" w:rsidRPr="007E2DCA" w:rsidRDefault="001B2CE5" w:rsidP="001B2CE5">
      <w:pPr>
        <w:widowControl w:val="0"/>
        <w:spacing w:after="0" w:line="360" w:lineRule="auto"/>
        <w:jc w:val="center"/>
        <w:rPr>
          <w:rFonts w:ascii="Bookman Old Style" w:eastAsia="Times New Roman" w:hAnsi="Bookman Old Style" w:cs="Arial"/>
          <w:b/>
          <w:spacing w:val="-4"/>
          <w:sz w:val="28"/>
          <w:szCs w:val="28"/>
          <w:lang w:val="es-ES_tradnl" w:eastAsia="es-ES"/>
        </w:rPr>
      </w:pPr>
      <w:r w:rsidRPr="007E2DCA">
        <w:rPr>
          <w:rFonts w:ascii="Bookman Old Style" w:eastAsia="Times New Roman" w:hAnsi="Bookman Old Style"/>
          <w:b/>
          <w:spacing w:val="-4"/>
          <w:sz w:val="28"/>
          <w:szCs w:val="28"/>
          <w:lang w:val="es-ES_tradnl" w:eastAsia="es-ES"/>
        </w:rPr>
        <w:t>JOSÉ JOAQUÍN URBANO MARTÍNEZ</w:t>
      </w:r>
    </w:p>
    <w:p w14:paraId="186736E9" w14:textId="77777777" w:rsidR="001B2CE5" w:rsidRPr="007E2DCA" w:rsidRDefault="001B2CE5" w:rsidP="001B2CE5">
      <w:pPr>
        <w:widowControl w:val="0"/>
        <w:spacing w:after="0" w:line="360" w:lineRule="auto"/>
        <w:jc w:val="center"/>
        <w:rPr>
          <w:rFonts w:ascii="Bookman Old Style" w:eastAsia="Times New Roman" w:hAnsi="Bookman Old Style" w:cs="Arial"/>
          <w:b/>
          <w:spacing w:val="-4"/>
          <w:sz w:val="28"/>
          <w:szCs w:val="28"/>
          <w:lang w:val="es-ES_tradnl" w:eastAsia="es-ES"/>
        </w:rPr>
      </w:pPr>
      <w:r w:rsidRPr="007E2DCA">
        <w:rPr>
          <w:rFonts w:ascii="Bookman Old Style" w:eastAsia="Times New Roman" w:hAnsi="Bookman Old Style" w:cs="Arial"/>
          <w:b/>
          <w:bCs/>
          <w:spacing w:val="-4"/>
          <w:sz w:val="28"/>
          <w:szCs w:val="28"/>
          <w:lang w:val="es-ES" w:eastAsia="es-ES"/>
        </w:rPr>
        <w:t>Magistrado Ponente</w:t>
      </w:r>
    </w:p>
    <w:p w14:paraId="5BF1E8E0" w14:textId="35A59DBA" w:rsidR="7B0819A2" w:rsidRPr="007E2DCA" w:rsidRDefault="7B0819A2" w:rsidP="7B0819A2">
      <w:pPr>
        <w:widowControl w:val="0"/>
        <w:spacing w:after="0" w:line="360" w:lineRule="auto"/>
        <w:jc w:val="center"/>
        <w:rPr>
          <w:rFonts w:ascii="Bookman Old Style" w:eastAsia="Times New Roman" w:hAnsi="Bookman Old Style" w:cs="Arial"/>
          <w:b/>
          <w:bCs/>
          <w:spacing w:val="-4"/>
          <w:sz w:val="28"/>
          <w:szCs w:val="28"/>
          <w:lang w:val="es-ES" w:eastAsia="es-ES"/>
        </w:rPr>
      </w:pPr>
    </w:p>
    <w:p w14:paraId="363A1A96" w14:textId="01A94841" w:rsidR="001B2CE5" w:rsidRPr="007E2DCA" w:rsidRDefault="002A7F94" w:rsidP="001B2CE5">
      <w:pPr>
        <w:widowControl w:val="0"/>
        <w:spacing w:after="0" w:line="360" w:lineRule="auto"/>
        <w:jc w:val="center"/>
        <w:rPr>
          <w:rFonts w:ascii="Bookman Old Style" w:eastAsia="Times New Roman" w:hAnsi="Bookman Old Style" w:cs="Arial"/>
          <w:b/>
          <w:spacing w:val="-4"/>
          <w:sz w:val="28"/>
          <w:szCs w:val="28"/>
          <w:lang w:val="es-ES_tradnl" w:eastAsia="es-ES"/>
        </w:rPr>
      </w:pPr>
      <w:r w:rsidRPr="007E2DCA">
        <w:rPr>
          <w:rFonts w:ascii="Bookman Old Style" w:eastAsia="Times New Roman" w:hAnsi="Bookman Old Style" w:cs="Arial"/>
          <w:b/>
          <w:bCs/>
          <w:spacing w:val="-4"/>
          <w:sz w:val="28"/>
          <w:szCs w:val="28"/>
          <w:lang w:eastAsia="es-ES"/>
        </w:rPr>
        <w:t>AP4391-2026</w:t>
      </w:r>
    </w:p>
    <w:p w14:paraId="6E1AB219" w14:textId="42BA847E" w:rsidR="001B2CE5" w:rsidRPr="007E2DCA" w:rsidRDefault="001B2CE5" w:rsidP="7864A2E1">
      <w:pPr>
        <w:widowControl w:val="0"/>
        <w:spacing w:after="0" w:line="360" w:lineRule="auto"/>
        <w:jc w:val="center"/>
        <w:rPr>
          <w:rFonts w:ascii="Bookman Old Style" w:eastAsia="Times New Roman" w:hAnsi="Bookman Old Style" w:cs="Arial"/>
          <w:b/>
          <w:bCs/>
          <w:spacing w:val="-4"/>
          <w:sz w:val="28"/>
          <w:szCs w:val="28"/>
          <w:lang w:val="es-ES" w:eastAsia="es-ES"/>
        </w:rPr>
      </w:pPr>
      <w:r w:rsidRPr="007E2DCA">
        <w:rPr>
          <w:rStyle w:val="normaltextrun"/>
          <w:rFonts w:ascii="Bookman Old Style" w:hAnsi="Bookman Old Style"/>
          <w:b/>
          <w:bCs/>
          <w:spacing w:val="-4"/>
          <w:sz w:val="28"/>
          <w:szCs w:val="28"/>
          <w:shd w:val="clear" w:color="auto" w:fill="FFFFFF"/>
          <w:lang w:val="es-ES"/>
        </w:rPr>
        <w:t xml:space="preserve">Radicación </w:t>
      </w:r>
      <w:proofErr w:type="spellStart"/>
      <w:r w:rsidRPr="007E2DCA">
        <w:rPr>
          <w:rStyle w:val="normaltextrun"/>
          <w:rFonts w:ascii="Bookman Old Style" w:hAnsi="Bookman Old Style"/>
          <w:b/>
          <w:bCs/>
          <w:spacing w:val="-4"/>
          <w:sz w:val="28"/>
          <w:szCs w:val="28"/>
          <w:shd w:val="clear" w:color="auto" w:fill="FFFFFF"/>
          <w:lang w:val="es-ES"/>
        </w:rPr>
        <w:t>N.</w:t>
      </w:r>
      <w:r w:rsidRPr="007E2DCA">
        <w:rPr>
          <w:rStyle w:val="normaltextrun"/>
          <w:rFonts w:ascii="Bookman Old Style" w:hAnsi="Bookman Old Style"/>
          <w:b/>
          <w:bCs/>
          <w:spacing w:val="-4"/>
          <w:shd w:val="clear" w:color="auto" w:fill="FFFFFF"/>
          <w:vertAlign w:val="superscript"/>
          <w:lang w:val="es-ES"/>
        </w:rPr>
        <w:t>o</w:t>
      </w:r>
      <w:proofErr w:type="spellEnd"/>
      <w:r w:rsidRPr="007E2DCA">
        <w:rPr>
          <w:rStyle w:val="normaltextrun"/>
          <w:rFonts w:ascii="Bookman Old Style" w:hAnsi="Bookman Old Style"/>
          <w:b/>
          <w:bCs/>
          <w:spacing w:val="-4"/>
          <w:sz w:val="28"/>
          <w:szCs w:val="28"/>
          <w:shd w:val="clear" w:color="auto" w:fill="FFFFFF"/>
          <w:lang w:val="es-ES"/>
        </w:rPr>
        <w:t xml:space="preserve"> </w:t>
      </w:r>
      <w:bookmarkStart w:id="0" w:name="_Hlk210293123"/>
      <w:r w:rsidRPr="007E2DCA">
        <w:rPr>
          <w:rFonts w:ascii="Bookman Old Style" w:eastAsia="Times New Roman" w:hAnsi="Bookman Old Style" w:cs="Arial"/>
          <w:b/>
          <w:bCs/>
          <w:spacing w:val="-4"/>
          <w:sz w:val="28"/>
          <w:szCs w:val="28"/>
          <w:lang w:val="es-ES" w:eastAsia="es-ES"/>
        </w:rPr>
        <w:t>7</w:t>
      </w:r>
      <w:r w:rsidR="00965C36" w:rsidRPr="007E2DCA">
        <w:rPr>
          <w:rFonts w:ascii="Bookman Old Style" w:eastAsia="Times New Roman" w:hAnsi="Bookman Old Style" w:cs="Arial"/>
          <w:b/>
          <w:bCs/>
          <w:spacing w:val="-4"/>
          <w:sz w:val="28"/>
          <w:szCs w:val="28"/>
          <w:lang w:val="es-ES" w:eastAsia="es-ES"/>
        </w:rPr>
        <w:t>2</w:t>
      </w:r>
      <w:r w:rsidRPr="007E2DCA">
        <w:rPr>
          <w:rFonts w:ascii="Bookman Old Style" w:eastAsia="Times New Roman" w:hAnsi="Bookman Old Style" w:cs="Arial"/>
          <w:b/>
          <w:bCs/>
          <w:spacing w:val="-4"/>
          <w:sz w:val="28"/>
          <w:szCs w:val="28"/>
          <w:lang w:val="es-ES" w:eastAsia="es-ES"/>
        </w:rPr>
        <w:t>.</w:t>
      </w:r>
      <w:bookmarkEnd w:id="0"/>
      <w:r w:rsidR="00965C36" w:rsidRPr="007E2DCA">
        <w:rPr>
          <w:rFonts w:ascii="Bookman Old Style" w:eastAsia="Times New Roman" w:hAnsi="Bookman Old Style" w:cs="Arial"/>
          <w:b/>
          <w:bCs/>
          <w:spacing w:val="-4"/>
          <w:sz w:val="28"/>
          <w:szCs w:val="28"/>
          <w:lang w:val="es-ES" w:eastAsia="es-ES"/>
        </w:rPr>
        <w:t>726</w:t>
      </w:r>
    </w:p>
    <w:p w14:paraId="112F5F79" w14:textId="3DD86D11" w:rsidR="001B2CE5" w:rsidRPr="007E2DCA" w:rsidRDefault="001B2CE5" w:rsidP="001B2CE5">
      <w:pPr>
        <w:widowControl w:val="0"/>
        <w:spacing w:after="0" w:line="360" w:lineRule="auto"/>
        <w:jc w:val="center"/>
        <w:rPr>
          <w:rFonts w:ascii="Bookman Old Style" w:eastAsia="Times New Roman" w:hAnsi="Bookman Old Style" w:cs="Arial"/>
          <w:b/>
          <w:spacing w:val="-4"/>
          <w:sz w:val="28"/>
          <w:szCs w:val="28"/>
          <w:lang w:val="es-ES_tradnl" w:eastAsia="es-ES"/>
        </w:rPr>
      </w:pPr>
      <w:r w:rsidRPr="007E2DCA">
        <w:rPr>
          <w:rFonts w:ascii="Bookman Old Style" w:eastAsia="Times New Roman" w:hAnsi="Bookman Old Style" w:cs="Arial"/>
          <w:b/>
          <w:spacing w:val="-4"/>
          <w:sz w:val="28"/>
          <w:szCs w:val="28"/>
          <w:lang w:val="es-ES_tradnl" w:eastAsia="es-ES"/>
        </w:rPr>
        <w:t>Acta</w:t>
      </w:r>
      <w:r w:rsidR="007021C0" w:rsidRPr="007E2DCA">
        <w:rPr>
          <w:rFonts w:ascii="Bookman Old Style" w:eastAsia="Times New Roman" w:hAnsi="Bookman Old Style" w:cs="Arial"/>
          <w:b/>
          <w:spacing w:val="-4"/>
          <w:sz w:val="28"/>
          <w:szCs w:val="28"/>
          <w:lang w:val="es-ES_tradnl" w:eastAsia="es-ES"/>
        </w:rPr>
        <w:t xml:space="preserve"> 205</w:t>
      </w:r>
    </w:p>
    <w:p w14:paraId="616E5822" w14:textId="77777777" w:rsidR="001B2CE5" w:rsidRPr="007E2DCA" w:rsidRDefault="001B2CE5" w:rsidP="001D4E17">
      <w:pPr>
        <w:widowControl w:val="0"/>
        <w:spacing w:after="0" w:line="360" w:lineRule="auto"/>
        <w:jc w:val="center"/>
        <w:rPr>
          <w:rFonts w:ascii="Bookman Old Style" w:eastAsia="Times New Roman" w:hAnsi="Bookman Old Style" w:cs="Arial"/>
          <w:b/>
          <w:spacing w:val="-4"/>
          <w:sz w:val="28"/>
          <w:szCs w:val="28"/>
          <w:lang w:val="es-ES_tradnl" w:eastAsia="es-ES"/>
        </w:rPr>
      </w:pPr>
    </w:p>
    <w:p w14:paraId="39794777" w14:textId="59D482D8" w:rsidR="001B2CE5" w:rsidRPr="007E2DCA" w:rsidRDefault="00CF1908" w:rsidP="00CF1908">
      <w:pPr>
        <w:widowControl w:val="0"/>
        <w:spacing w:after="0" w:line="360" w:lineRule="auto"/>
        <w:jc w:val="center"/>
        <w:rPr>
          <w:rFonts w:ascii="Bookman Old Style" w:eastAsia="Times New Roman" w:hAnsi="Bookman Old Style" w:cs="Times New Roman"/>
          <w:spacing w:val="-4"/>
          <w:sz w:val="28"/>
          <w:szCs w:val="28"/>
          <w:lang w:val="es-ES_tradnl" w:eastAsia="es-ES"/>
        </w:rPr>
      </w:pPr>
      <w:r w:rsidRPr="007E2DCA">
        <w:rPr>
          <w:rFonts w:ascii="Bookman Old Style" w:eastAsia="Calibri" w:hAnsi="Bookman Old Style" w:cs="Times New Roman"/>
          <w:spacing w:val="-4"/>
          <w:sz w:val="28"/>
          <w:szCs w:val="28"/>
          <w:lang w:val="es-ES_tradnl"/>
        </w:rPr>
        <w:t xml:space="preserve">Bogotá, D. C., </w:t>
      </w:r>
      <w:r w:rsidR="00065153" w:rsidRPr="007E2DCA">
        <w:rPr>
          <w:rFonts w:ascii="Bookman Old Style" w:eastAsia="Calibri" w:hAnsi="Bookman Old Style" w:cs="Times New Roman"/>
          <w:spacing w:val="-4"/>
          <w:sz w:val="28"/>
          <w:szCs w:val="28"/>
          <w:lang w:val="es-ES_tradnl"/>
        </w:rPr>
        <w:t xml:space="preserve">veinticuatro </w:t>
      </w:r>
      <w:r w:rsidRPr="007E2DCA">
        <w:rPr>
          <w:rFonts w:ascii="Bookman Old Style" w:eastAsia="Calibri" w:hAnsi="Bookman Old Style" w:cs="Times New Roman"/>
          <w:spacing w:val="-4"/>
          <w:sz w:val="28"/>
          <w:szCs w:val="28"/>
          <w:lang w:val="es-ES_tradnl"/>
        </w:rPr>
        <w:t>(</w:t>
      </w:r>
      <w:r w:rsidR="00065153" w:rsidRPr="007E2DCA">
        <w:rPr>
          <w:rFonts w:ascii="Bookman Old Style" w:eastAsia="Calibri" w:hAnsi="Bookman Old Style" w:cs="Times New Roman"/>
          <w:spacing w:val="-4"/>
          <w:sz w:val="28"/>
          <w:szCs w:val="28"/>
          <w:lang w:val="es-ES_tradnl"/>
        </w:rPr>
        <w:t>24</w:t>
      </w:r>
      <w:r w:rsidRPr="007E2DCA">
        <w:rPr>
          <w:rFonts w:ascii="Bookman Old Style" w:eastAsia="Calibri" w:hAnsi="Bookman Old Style" w:cs="Times New Roman"/>
          <w:spacing w:val="-4"/>
          <w:sz w:val="28"/>
          <w:szCs w:val="28"/>
          <w:lang w:val="es-ES_tradnl"/>
        </w:rPr>
        <w:t xml:space="preserve">) de </w:t>
      </w:r>
      <w:r w:rsidR="00065153" w:rsidRPr="007E2DCA">
        <w:rPr>
          <w:rFonts w:ascii="Bookman Old Style" w:eastAsia="Calibri" w:hAnsi="Bookman Old Style" w:cs="Times New Roman"/>
          <w:spacing w:val="-4"/>
          <w:sz w:val="28"/>
          <w:szCs w:val="28"/>
          <w:lang w:val="es-ES_tradnl"/>
        </w:rPr>
        <w:t>junio</w:t>
      </w:r>
      <w:r w:rsidRPr="007E2DCA">
        <w:rPr>
          <w:rFonts w:ascii="Bookman Old Style" w:eastAsia="Calibri" w:hAnsi="Bookman Old Style" w:cs="Times New Roman"/>
          <w:spacing w:val="-4"/>
          <w:sz w:val="28"/>
          <w:szCs w:val="28"/>
          <w:lang w:val="es-ES_tradnl"/>
        </w:rPr>
        <w:t xml:space="preserve"> de dos mil veintiséis (2026).</w:t>
      </w:r>
    </w:p>
    <w:p w14:paraId="7CB76CF4" w14:textId="77777777" w:rsidR="001B2CE5" w:rsidRPr="007E2DCA" w:rsidRDefault="001B2CE5" w:rsidP="001D4E17">
      <w:pPr>
        <w:widowControl w:val="0"/>
        <w:spacing w:after="0" w:line="360" w:lineRule="auto"/>
        <w:ind w:firstLine="709"/>
        <w:jc w:val="both"/>
        <w:rPr>
          <w:rFonts w:ascii="Bookman Old Style" w:eastAsia="Times New Roman" w:hAnsi="Bookman Old Style" w:cs="Times New Roman"/>
          <w:spacing w:val="-4"/>
          <w:sz w:val="28"/>
          <w:szCs w:val="28"/>
          <w:lang w:val="es-ES_tradnl" w:eastAsia="es-ES"/>
        </w:rPr>
      </w:pPr>
    </w:p>
    <w:p w14:paraId="23DBCCD8" w14:textId="77777777" w:rsidR="001B2CE5" w:rsidRPr="007E2DCA" w:rsidRDefault="001B2CE5" w:rsidP="001D4E17">
      <w:pPr>
        <w:spacing w:after="0" w:line="360" w:lineRule="auto"/>
        <w:jc w:val="center"/>
        <w:rPr>
          <w:rFonts w:ascii="Bookman Old Style" w:hAnsi="Bookman Old Style" w:cs="Arial"/>
          <w:b/>
          <w:bCs/>
          <w:spacing w:val="-4"/>
          <w:sz w:val="28"/>
          <w:szCs w:val="28"/>
          <w:lang w:val="es-ES_tradnl"/>
        </w:rPr>
      </w:pPr>
      <w:r w:rsidRPr="007E2DCA">
        <w:rPr>
          <w:rFonts w:ascii="Bookman Old Style" w:hAnsi="Bookman Old Style" w:cs="Arial"/>
          <w:b/>
          <w:bCs/>
          <w:spacing w:val="-4"/>
          <w:sz w:val="28"/>
          <w:szCs w:val="28"/>
          <w:lang w:val="es-ES_tradnl"/>
        </w:rPr>
        <w:t>I. OBJETO DE LA DECISIÓN</w:t>
      </w:r>
    </w:p>
    <w:p w14:paraId="424E4C37" w14:textId="77777777" w:rsidR="001B2CE5" w:rsidRPr="007E2DCA" w:rsidRDefault="001B2CE5" w:rsidP="001D4E17">
      <w:pPr>
        <w:widowControl w:val="0"/>
        <w:spacing w:after="0" w:line="360" w:lineRule="auto"/>
        <w:jc w:val="center"/>
        <w:rPr>
          <w:rFonts w:ascii="Bookman Old Style" w:eastAsia="Times New Roman" w:hAnsi="Bookman Old Style" w:cs="Arial"/>
          <w:b/>
          <w:spacing w:val="-4"/>
          <w:sz w:val="28"/>
          <w:szCs w:val="28"/>
          <w:lang w:val="es-ES_tradnl" w:eastAsia="es-ES"/>
        </w:rPr>
      </w:pPr>
    </w:p>
    <w:p w14:paraId="70D374DF" w14:textId="6E0DCB4F" w:rsidR="001B2CE5" w:rsidRPr="007E2DCA" w:rsidRDefault="001B2CE5" w:rsidP="00CF1908">
      <w:pPr>
        <w:spacing w:after="0" w:line="360" w:lineRule="auto"/>
        <w:ind w:firstLine="708"/>
        <w:jc w:val="both"/>
        <w:rPr>
          <w:rStyle w:val="normaltextrun"/>
          <w:rFonts w:ascii="Bookman Old Style" w:hAnsi="Bookman Old Style"/>
          <w:spacing w:val="-4"/>
          <w:sz w:val="28"/>
          <w:szCs w:val="28"/>
          <w:lang w:val="es-ES_tradnl"/>
        </w:rPr>
      </w:pPr>
      <w:bookmarkStart w:id="1" w:name="_Hlk80661595"/>
      <w:r w:rsidRPr="007E2DCA">
        <w:rPr>
          <w:rStyle w:val="normaltextrun"/>
          <w:rFonts w:ascii="Bookman Old Style" w:hAnsi="Bookman Old Style"/>
          <w:spacing w:val="-4"/>
          <w:sz w:val="28"/>
          <w:szCs w:val="28"/>
          <w:lang w:val="es-ES_tradnl"/>
        </w:rPr>
        <w:t xml:space="preserve">La Corte resuelve el recurso de queja interpuesto por la </w:t>
      </w:r>
      <w:r w:rsidR="004962EF" w:rsidRPr="007E2DCA">
        <w:rPr>
          <w:rStyle w:val="normaltextrun"/>
          <w:rFonts w:ascii="Bookman Old Style" w:hAnsi="Bookman Old Style"/>
          <w:spacing w:val="-4"/>
          <w:sz w:val="28"/>
          <w:szCs w:val="28"/>
          <w:lang w:val="es-ES_tradnl"/>
        </w:rPr>
        <w:t xml:space="preserve">Fiscalía 66 </w:t>
      </w:r>
      <w:r w:rsidR="00D237FF" w:rsidRPr="007E2DCA">
        <w:rPr>
          <w:rStyle w:val="normaltextrun"/>
          <w:rFonts w:ascii="Bookman Old Style" w:hAnsi="Bookman Old Style"/>
          <w:spacing w:val="-4"/>
          <w:sz w:val="28"/>
          <w:szCs w:val="28"/>
          <w:lang w:val="es-ES_tradnl"/>
        </w:rPr>
        <w:t>delegada</w:t>
      </w:r>
      <w:r w:rsidR="004962EF" w:rsidRPr="007E2DCA">
        <w:rPr>
          <w:rStyle w:val="normaltextrun"/>
          <w:rFonts w:ascii="Bookman Old Style" w:hAnsi="Bookman Old Style"/>
          <w:spacing w:val="-4"/>
          <w:sz w:val="28"/>
          <w:szCs w:val="28"/>
          <w:lang w:val="es-ES_tradnl"/>
        </w:rPr>
        <w:t xml:space="preserve"> ante Tribunal Superior de Villavicencio </w:t>
      </w:r>
      <w:r w:rsidRPr="007E2DCA">
        <w:rPr>
          <w:rStyle w:val="normaltextrun"/>
          <w:rFonts w:ascii="Bookman Old Style" w:hAnsi="Bookman Old Style"/>
          <w:spacing w:val="-4"/>
          <w:sz w:val="28"/>
          <w:szCs w:val="28"/>
          <w:lang w:val="es-ES_tradnl"/>
        </w:rPr>
        <w:t xml:space="preserve">contra </w:t>
      </w:r>
      <w:r w:rsidR="00EF401E" w:rsidRPr="007E2DCA">
        <w:rPr>
          <w:rStyle w:val="normaltextrun"/>
          <w:rFonts w:ascii="Bookman Old Style" w:hAnsi="Bookman Old Style"/>
          <w:spacing w:val="-4"/>
          <w:sz w:val="28"/>
          <w:szCs w:val="28"/>
          <w:lang w:val="es-ES_tradnl"/>
        </w:rPr>
        <w:t>la decisión del</w:t>
      </w:r>
      <w:r w:rsidRPr="007E2DCA">
        <w:rPr>
          <w:rStyle w:val="normaltextrun"/>
          <w:rFonts w:ascii="Bookman Old Style" w:hAnsi="Bookman Old Style"/>
          <w:spacing w:val="-4"/>
          <w:sz w:val="28"/>
          <w:szCs w:val="28"/>
          <w:lang w:val="es-ES_tradnl"/>
        </w:rPr>
        <w:t xml:space="preserve"> </w:t>
      </w:r>
      <w:r w:rsidR="004962EF" w:rsidRPr="007E2DCA">
        <w:rPr>
          <w:rStyle w:val="normaltextrun"/>
          <w:rFonts w:ascii="Bookman Old Style" w:hAnsi="Bookman Old Style"/>
          <w:spacing w:val="-4"/>
          <w:sz w:val="28"/>
          <w:szCs w:val="28"/>
          <w:lang w:val="es-ES_tradnl"/>
        </w:rPr>
        <w:t>14 de abril de 2026</w:t>
      </w:r>
      <w:r w:rsidR="00CF1908" w:rsidRPr="007E2DCA">
        <w:rPr>
          <w:rStyle w:val="normaltextrun"/>
          <w:rFonts w:ascii="Bookman Old Style" w:hAnsi="Bookman Old Style"/>
          <w:spacing w:val="-4"/>
          <w:sz w:val="28"/>
          <w:szCs w:val="28"/>
          <w:lang w:val="es-ES_tradnl"/>
        </w:rPr>
        <w:t xml:space="preserve"> </w:t>
      </w:r>
      <w:r w:rsidR="00EF401E" w:rsidRPr="007E2DCA">
        <w:rPr>
          <w:rStyle w:val="normaltextrun"/>
          <w:rFonts w:ascii="Bookman Old Style" w:hAnsi="Bookman Old Style"/>
          <w:spacing w:val="-4"/>
          <w:sz w:val="28"/>
          <w:szCs w:val="28"/>
          <w:lang w:val="es-ES_tradnl"/>
        </w:rPr>
        <w:t xml:space="preserve">emitida por </w:t>
      </w:r>
      <w:r w:rsidRPr="007E2DCA">
        <w:rPr>
          <w:rStyle w:val="normaltextrun"/>
          <w:rFonts w:ascii="Bookman Old Style" w:hAnsi="Bookman Old Style"/>
          <w:spacing w:val="-4"/>
          <w:sz w:val="28"/>
          <w:szCs w:val="28"/>
          <w:lang w:val="es-ES_tradnl"/>
        </w:rPr>
        <w:t>la Sala Penal de</w:t>
      </w:r>
      <w:r w:rsidR="004962EF" w:rsidRPr="007E2DCA">
        <w:rPr>
          <w:rStyle w:val="normaltextrun"/>
          <w:rFonts w:ascii="Bookman Old Style" w:hAnsi="Bookman Old Style"/>
          <w:spacing w:val="-4"/>
          <w:sz w:val="28"/>
          <w:szCs w:val="28"/>
          <w:lang w:val="es-ES_tradnl"/>
        </w:rPr>
        <w:t xml:space="preserve"> dicha Corporación</w:t>
      </w:r>
      <w:r w:rsidR="00EF401E" w:rsidRPr="007E2DCA">
        <w:rPr>
          <w:rStyle w:val="normaltextrun"/>
          <w:rFonts w:ascii="Bookman Old Style" w:hAnsi="Bookman Old Style"/>
          <w:spacing w:val="-4"/>
          <w:sz w:val="28"/>
          <w:szCs w:val="28"/>
          <w:lang w:val="es-ES_tradnl"/>
        </w:rPr>
        <w:t>,</w:t>
      </w:r>
      <w:r w:rsidRPr="007E2DCA">
        <w:rPr>
          <w:rStyle w:val="normaltextrun"/>
          <w:rFonts w:ascii="Bookman Old Style" w:hAnsi="Bookman Old Style"/>
          <w:spacing w:val="-4"/>
          <w:sz w:val="28"/>
          <w:szCs w:val="28"/>
          <w:lang w:val="es-ES_tradnl"/>
        </w:rPr>
        <w:t xml:space="preserve"> </w:t>
      </w:r>
      <w:r w:rsidR="00EF401E" w:rsidRPr="007E2DCA">
        <w:rPr>
          <w:rStyle w:val="normaltextrun"/>
          <w:rFonts w:ascii="Bookman Old Style" w:hAnsi="Bookman Old Style"/>
          <w:spacing w:val="-4"/>
          <w:sz w:val="28"/>
          <w:szCs w:val="28"/>
          <w:lang w:val="es-ES_tradnl"/>
        </w:rPr>
        <w:t>mediante la cual</w:t>
      </w:r>
      <w:r w:rsidR="00070D9D" w:rsidRPr="007E2DCA">
        <w:rPr>
          <w:rStyle w:val="normaltextrun"/>
          <w:rFonts w:ascii="Bookman Old Style" w:hAnsi="Bookman Old Style"/>
          <w:spacing w:val="-4"/>
          <w:sz w:val="28"/>
          <w:szCs w:val="28"/>
          <w:lang w:val="es-ES_tradnl"/>
        </w:rPr>
        <w:t xml:space="preserve"> </w:t>
      </w:r>
      <w:r w:rsidR="00460C48" w:rsidRPr="007E2DCA">
        <w:rPr>
          <w:rStyle w:val="normaltextrun"/>
          <w:rFonts w:ascii="Bookman Old Style" w:hAnsi="Bookman Old Style"/>
          <w:spacing w:val="-4"/>
          <w:sz w:val="28"/>
          <w:szCs w:val="28"/>
          <w:lang w:val="es-ES_tradnl"/>
        </w:rPr>
        <w:t>negó tácitamente</w:t>
      </w:r>
      <w:r w:rsidR="00070D9D" w:rsidRPr="007E2DCA">
        <w:rPr>
          <w:rStyle w:val="normaltextrun"/>
          <w:rFonts w:ascii="Bookman Old Style" w:hAnsi="Bookman Old Style"/>
          <w:spacing w:val="-4"/>
          <w:sz w:val="28"/>
          <w:szCs w:val="28"/>
          <w:lang w:val="es-ES_tradnl"/>
        </w:rPr>
        <w:t xml:space="preserve"> el recurso de apelación contra la</w:t>
      </w:r>
      <w:r w:rsidR="00D237FF" w:rsidRPr="007E2DCA">
        <w:rPr>
          <w:rStyle w:val="normaltextrun"/>
          <w:rFonts w:ascii="Bookman Old Style" w:hAnsi="Bookman Old Style"/>
          <w:spacing w:val="-4"/>
          <w:sz w:val="28"/>
          <w:szCs w:val="28"/>
          <w:lang w:val="es-ES_tradnl"/>
        </w:rPr>
        <w:t xml:space="preserve"> </w:t>
      </w:r>
      <w:r w:rsidR="00E1187B" w:rsidRPr="007E2DCA">
        <w:rPr>
          <w:rStyle w:val="normaltextrun"/>
          <w:rFonts w:ascii="Bookman Old Style" w:hAnsi="Bookman Old Style"/>
          <w:spacing w:val="-4"/>
          <w:sz w:val="28"/>
          <w:szCs w:val="28"/>
          <w:lang w:val="es-ES_tradnl"/>
        </w:rPr>
        <w:t xml:space="preserve">orden que rechazó </w:t>
      </w:r>
      <w:r w:rsidR="00460C48" w:rsidRPr="007E2DCA">
        <w:rPr>
          <w:rStyle w:val="normaltextrun"/>
          <w:rFonts w:ascii="Bookman Old Style" w:hAnsi="Bookman Old Style"/>
          <w:spacing w:val="-4"/>
          <w:sz w:val="28"/>
          <w:szCs w:val="28"/>
          <w:lang w:val="es-ES_tradnl"/>
        </w:rPr>
        <w:t>la incompatibilidad</w:t>
      </w:r>
      <w:r w:rsidR="00D237FF" w:rsidRPr="007E2DCA">
        <w:rPr>
          <w:rStyle w:val="normaltextrun"/>
          <w:rFonts w:ascii="Bookman Old Style" w:hAnsi="Bookman Old Style"/>
          <w:spacing w:val="-4"/>
          <w:sz w:val="28"/>
          <w:szCs w:val="28"/>
          <w:lang w:val="es-ES_tradnl"/>
        </w:rPr>
        <w:t xml:space="preserve"> de un abogado defensor</w:t>
      </w:r>
      <w:r w:rsidR="00EF401E" w:rsidRPr="007E2DCA">
        <w:rPr>
          <w:rStyle w:val="normaltextrun"/>
          <w:rFonts w:ascii="Bookman Old Style" w:hAnsi="Bookman Old Style"/>
          <w:spacing w:val="-4"/>
          <w:sz w:val="28"/>
          <w:szCs w:val="28"/>
          <w:lang w:val="es-ES_tradnl"/>
        </w:rPr>
        <w:t>.</w:t>
      </w:r>
      <w:r w:rsidR="00D51293" w:rsidRPr="007E2DCA">
        <w:rPr>
          <w:rStyle w:val="normaltextrun"/>
          <w:rFonts w:ascii="Bookman Old Style" w:hAnsi="Bookman Old Style"/>
          <w:spacing w:val="-4"/>
          <w:sz w:val="28"/>
          <w:szCs w:val="28"/>
          <w:lang w:val="es-ES_tradnl"/>
        </w:rPr>
        <w:t xml:space="preserve"> </w:t>
      </w:r>
    </w:p>
    <w:p w14:paraId="1C758EA1" w14:textId="77777777" w:rsidR="001B2CE5" w:rsidRPr="007E2DCA" w:rsidRDefault="001B2CE5" w:rsidP="001D4E17">
      <w:pPr>
        <w:spacing w:after="0" w:line="360" w:lineRule="auto"/>
        <w:ind w:firstLine="708"/>
        <w:jc w:val="both"/>
        <w:rPr>
          <w:rStyle w:val="normaltextrun"/>
          <w:rFonts w:ascii="Bookman Old Style" w:hAnsi="Bookman Old Style"/>
          <w:spacing w:val="-4"/>
          <w:sz w:val="28"/>
          <w:szCs w:val="28"/>
          <w:lang w:val="es-ES_tradnl"/>
        </w:rPr>
      </w:pPr>
    </w:p>
    <w:bookmarkEnd w:id="1"/>
    <w:p w14:paraId="3ADC75A2" w14:textId="4ECC6781" w:rsidR="00EF401E" w:rsidRPr="007E2DCA" w:rsidRDefault="001B2CE5" w:rsidP="001D4E17">
      <w:pPr>
        <w:spacing w:after="0" w:line="360" w:lineRule="auto"/>
        <w:jc w:val="center"/>
        <w:rPr>
          <w:rFonts w:ascii="Bookman Old Style" w:hAnsi="Bookman Old Style" w:cs="Arial"/>
          <w:b/>
          <w:bCs/>
          <w:spacing w:val="-4"/>
          <w:sz w:val="28"/>
          <w:szCs w:val="28"/>
          <w:lang w:val="es-ES_tradnl"/>
        </w:rPr>
      </w:pPr>
      <w:r w:rsidRPr="007E2DCA">
        <w:rPr>
          <w:rFonts w:ascii="Bookman Old Style" w:hAnsi="Bookman Old Style" w:cs="Arial"/>
          <w:b/>
          <w:bCs/>
          <w:spacing w:val="-4"/>
          <w:sz w:val="28"/>
          <w:szCs w:val="28"/>
          <w:lang w:val="es-ES_tradnl"/>
        </w:rPr>
        <w:t xml:space="preserve">II. </w:t>
      </w:r>
      <w:r w:rsidR="00EF401E" w:rsidRPr="007E2DCA">
        <w:rPr>
          <w:rFonts w:ascii="Bookman Old Style" w:hAnsi="Bookman Old Style" w:cs="Arial"/>
          <w:b/>
          <w:bCs/>
          <w:spacing w:val="-4"/>
          <w:sz w:val="28"/>
          <w:szCs w:val="28"/>
          <w:lang w:val="es-ES_tradnl"/>
        </w:rPr>
        <w:t>HECHOS</w:t>
      </w:r>
    </w:p>
    <w:p w14:paraId="53B51D43" w14:textId="77777777" w:rsidR="00AB5A75" w:rsidRPr="007E2DCA" w:rsidRDefault="00AB5A75" w:rsidP="001D4E17">
      <w:pPr>
        <w:spacing w:after="0" w:line="360" w:lineRule="auto"/>
        <w:jc w:val="center"/>
        <w:rPr>
          <w:rFonts w:ascii="Bookman Old Style" w:hAnsi="Bookman Old Style" w:cs="Arial"/>
          <w:b/>
          <w:bCs/>
          <w:spacing w:val="-4"/>
          <w:sz w:val="28"/>
          <w:szCs w:val="28"/>
          <w:lang w:val="es-ES_tradnl"/>
        </w:rPr>
      </w:pPr>
    </w:p>
    <w:p w14:paraId="06F3FB6D" w14:textId="7758892D" w:rsidR="005C0056" w:rsidRPr="007E2DCA" w:rsidRDefault="005C0056" w:rsidP="005C0056">
      <w:pPr>
        <w:spacing w:after="0" w:line="360" w:lineRule="auto"/>
        <w:ind w:firstLine="709"/>
        <w:jc w:val="both"/>
        <w:rPr>
          <w:rFonts w:ascii="Bookman Old Style" w:hAnsi="Bookman Old Style" w:cs="Arial"/>
          <w:spacing w:val="-4"/>
          <w:sz w:val="28"/>
          <w:szCs w:val="28"/>
        </w:rPr>
      </w:pPr>
      <w:r w:rsidRPr="007E2DCA">
        <w:rPr>
          <w:rFonts w:ascii="Bookman Old Style" w:hAnsi="Bookman Old Style" w:cs="Arial"/>
          <w:spacing w:val="-4"/>
          <w:sz w:val="28"/>
          <w:szCs w:val="28"/>
        </w:rPr>
        <w:t>Julio César Rubio Herrera solicitó al Instituto de Tránsito Departamental del Meta la exoneración de una multa impuesta el 2 de febrero de 2013. Días después, William Alberto Rubio Herrera —</w:t>
      </w:r>
      <w:r w:rsidRPr="007E2DCA">
        <w:rPr>
          <w:rFonts w:ascii="Bookman Old Style" w:hAnsi="Bookman Old Style" w:cs="Arial"/>
          <w:spacing w:val="-4"/>
          <w:sz w:val="24"/>
          <w:szCs w:val="24"/>
        </w:rPr>
        <w:t>subdirector de esa entidad y hermano del solicitante</w:t>
      </w:r>
      <w:r w:rsidRPr="007E2DCA">
        <w:rPr>
          <w:rFonts w:ascii="Bookman Old Style" w:hAnsi="Bookman Old Style" w:cs="Arial"/>
          <w:spacing w:val="-4"/>
          <w:sz w:val="28"/>
          <w:szCs w:val="28"/>
        </w:rPr>
        <w:t xml:space="preserve">— expidió una resolución mediante la cual lo eximió del pago de </w:t>
      </w:r>
      <w:r w:rsidRPr="007E2DCA">
        <w:rPr>
          <w:rFonts w:ascii="Bookman Old Style" w:hAnsi="Bookman Old Style" w:cs="Arial"/>
          <w:spacing w:val="-4"/>
          <w:sz w:val="28"/>
          <w:szCs w:val="28"/>
        </w:rPr>
        <w:lastRenderedPageBreak/>
        <w:t xml:space="preserve">la sanción, hecho que dio lugar a una investigación penal por </w:t>
      </w:r>
      <w:r w:rsidR="00070D9D" w:rsidRPr="007E2DCA">
        <w:rPr>
          <w:rFonts w:ascii="Bookman Old Style" w:hAnsi="Bookman Old Style" w:cs="Arial"/>
          <w:spacing w:val="-4"/>
          <w:sz w:val="28"/>
          <w:szCs w:val="28"/>
        </w:rPr>
        <w:t xml:space="preserve">la posible comisión del delito de </w:t>
      </w:r>
      <w:r w:rsidRPr="007E2DCA">
        <w:rPr>
          <w:rFonts w:ascii="Bookman Old Style" w:hAnsi="Bookman Old Style" w:cs="Arial"/>
          <w:spacing w:val="-4"/>
          <w:sz w:val="28"/>
          <w:szCs w:val="28"/>
        </w:rPr>
        <w:t>prevaricato</w:t>
      </w:r>
      <w:r w:rsidR="00070D9D" w:rsidRPr="007E2DCA">
        <w:rPr>
          <w:rFonts w:ascii="Bookman Old Style" w:hAnsi="Bookman Old Style" w:cs="Arial"/>
          <w:spacing w:val="-4"/>
          <w:sz w:val="28"/>
          <w:szCs w:val="28"/>
        </w:rPr>
        <w:t xml:space="preserve"> por omisión</w:t>
      </w:r>
      <w:r w:rsidRPr="007E2DCA">
        <w:rPr>
          <w:rFonts w:ascii="Bookman Old Style" w:hAnsi="Bookman Old Style" w:cs="Arial"/>
          <w:spacing w:val="-4"/>
          <w:sz w:val="28"/>
          <w:szCs w:val="28"/>
        </w:rPr>
        <w:t>.</w:t>
      </w:r>
    </w:p>
    <w:p w14:paraId="1415BA3E" w14:textId="77777777" w:rsidR="005C0056" w:rsidRPr="007E2DCA" w:rsidRDefault="005C0056" w:rsidP="005C0056">
      <w:pPr>
        <w:spacing w:after="0" w:line="360" w:lineRule="auto"/>
        <w:ind w:firstLine="709"/>
        <w:jc w:val="both"/>
        <w:rPr>
          <w:rFonts w:ascii="Bookman Old Style" w:hAnsi="Bookman Old Style" w:cs="Arial"/>
          <w:spacing w:val="-4"/>
          <w:sz w:val="28"/>
          <w:szCs w:val="28"/>
        </w:rPr>
      </w:pPr>
    </w:p>
    <w:p w14:paraId="4593E2D1" w14:textId="77777777" w:rsidR="005C0056" w:rsidRPr="007E2DCA" w:rsidRDefault="005C0056" w:rsidP="005C0056">
      <w:pPr>
        <w:spacing w:after="0" w:line="360" w:lineRule="auto"/>
        <w:ind w:firstLine="709"/>
        <w:jc w:val="both"/>
        <w:rPr>
          <w:rFonts w:ascii="Bookman Old Style" w:hAnsi="Bookman Old Style" w:cs="Arial"/>
          <w:spacing w:val="-4"/>
          <w:sz w:val="28"/>
          <w:szCs w:val="28"/>
        </w:rPr>
      </w:pPr>
      <w:r w:rsidRPr="007E2DCA">
        <w:rPr>
          <w:rFonts w:ascii="Bookman Old Style" w:hAnsi="Bookman Old Style" w:cs="Arial"/>
          <w:spacing w:val="-4"/>
          <w:sz w:val="28"/>
          <w:szCs w:val="28"/>
        </w:rPr>
        <w:t xml:space="preserve">Durante el trámite, distintos comités técnicos jurídicos de la Fiscalía recomendaron el desarchivo de las diligencias, la unificación de investigaciones y la necesidad de convocar un nuevo comité una vez culminara la indagación para definir el curso del asunto. </w:t>
      </w:r>
    </w:p>
    <w:p w14:paraId="75D33EC5" w14:textId="77777777" w:rsidR="005C0056" w:rsidRPr="007E2DCA" w:rsidRDefault="005C0056" w:rsidP="005C0056">
      <w:pPr>
        <w:spacing w:after="0" w:line="360" w:lineRule="auto"/>
        <w:ind w:firstLine="709"/>
        <w:jc w:val="both"/>
        <w:rPr>
          <w:rFonts w:ascii="Bookman Old Style" w:hAnsi="Bookman Old Style" w:cs="Arial"/>
          <w:spacing w:val="-4"/>
          <w:sz w:val="28"/>
          <w:szCs w:val="28"/>
        </w:rPr>
      </w:pPr>
    </w:p>
    <w:p w14:paraId="7A592027" w14:textId="3972CA48" w:rsidR="00070D9D" w:rsidRPr="007E2DCA" w:rsidRDefault="005C0056" w:rsidP="005C0056">
      <w:pPr>
        <w:spacing w:after="0" w:line="360" w:lineRule="auto"/>
        <w:ind w:firstLine="709"/>
        <w:jc w:val="both"/>
        <w:rPr>
          <w:rFonts w:ascii="Bookman Old Style" w:hAnsi="Bookman Old Style" w:cs="Arial"/>
          <w:spacing w:val="-4"/>
          <w:sz w:val="28"/>
          <w:szCs w:val="28"/>
        </w:rPr>
      </w:pPr>
      <w:r w:rsidRPr="007E2DCA">
        <w:rPr>
          <w:rFonts w:ascii="Bookman Old Style" w:hAnsi="Bookman Old Style" w:cs="Arial"/>
          <w:spacing w:val="-4"/>
          <w:sz w:val="28"/>
          <w:szCs w:val="28"/>
        </w:rPr>
        <w:t xml:space="preserve">Posteriormente, el 18 de mayo de 2019, </w:t>
      </w:r>
      <w:r w:rsidR="00070D9D" w:rsidRPr="007E2DCA">
        <w:rPr>
          <w:rFonts w:ascii="Bookman Old Style" w:hAnsi="Bookman Old Style" w:cs="Arial"/>
          <w:smallCaps/>
          <w:spacing w:val="-4"/>
          <w:sz w:val="28"/>
          <w:szCs w:val="28"/>
        </w:rPr>
        <w:t>Claudia Melissa García Luna,</w:t>
      </w:r>
      <w:r w:rsidRPr="007E2DCA">
        <w:rPr>
          <w:rFonts w:ascii="Bookman Old Style" w:hAnsi="Bookman Old Style" w:cs="Arial"/>
          <w:spacing w:val="-4"/>
          <w:sz w:val="28"/>
          <w:szCs w:val="28"/>
        </w:rPr>
        <w:t xml:space="preserve"> como titular de la Fiscalía 19 Seccional de Villavicencio, dispuso reabrir la investigación. Luego, el 15 de julio de 2022, William Alberto Rubio Herrera solicitó la aplicación del principio de oportunidad y, ese mismo día, </w:t>
      </w:r>
      <w:r w:rsidR="00070D9D" w:rsidRPr="007E2DCA">
        <w:rPr>
          <w:rFonts w:ascii="Bookman Old Style" w:hAnsi="Bookman Old Style" w:cs="Arial"/>
          <w:spacing w:val="-4"/>
          <w:sz w:val="28"/>
          <w:szCs w:val="28"/>
        </w:rPr>
        <w:t>aquella r</w:t>
      </w:r>
      <w:r w:rsidRPr="007E2DCA">
        <w:rPr>
          <w:rFonts w:ascii="Bookman Old Style" w:hAnsi="Bookman Old Style" w:cs="Arial"/>
          <w:spacing w:val="-4"/>
          <w:sz w:val="28"/>
          <w:szCs w:val="28"/>
        </w:rPr>
        <w:t xml:space="preserve">adicó la petición de audiencia preliminar </w:t>
      </w:r>
      <w:r w:rsidR="00070D9D" w:rsidRPr="007E2DCA">
        <w:rPr>
          <w:rFonts w:ascii="Bookman Old Style" w:hAnsi="Bookman Old Style" w:cs="Arial"/>
          <w:spacing w:val="-4"/>
          <w:sz w:val="28"/>
          <w:szCs w:val="28"/>
        </w:rPr>
        <w:t>con el fin de renunciar</w:t>
      </w:r>
      <w:r w:rsidRPr="007E2DCA">
        <w:rPr>
          <w:rFonts w:ascii="Bookman Old Style" w:hAnsi="Bookman Old Style" w:cs="Arial"/>
          <w:spacing w:val="-4"/>
          <w:sz w:val="28"/>
          <w:szCs w:val="28"/>
        </w:rPr>
        <w:t xml:space="preserve"> a la acción penal, sin convocar un nuevo comité técnico jurídico para evaluar previamente esa decisión. </w:t>
      </w:r>
    </w:p>
    <w:p w14:paraId="786CF3F7" w14:textId="77777777" w:rsidR="00070D9D" w:rsidRPr="007E2DCA" w:rsidRDefault="00070D9D" w:rsidP="005C0056">
      <w:pPr>
        <w:spacing w:after="0" w:line="360" w:lineRule="auto"/>
        <w:ind w:firstLine="709"/>
        <w:jc w:val="both"/>
        <w:rPr>
          <w:rFonts w:ascii="Bookman Old Style" w:hAnsi="Bookman Old Style" w:cs="Arial"/>
          <w:spacing w:val="-4"/>
          <w:sz w:val="28"/>
          <w:szCs w:val="28"/>
        </w:rPr>
      </w:pPr>
    </w:p>
    <w:p w14:paraId="59014137" w14:textId="303301DB" w:rsidR="005C0056" w:rsidRPr="007E2DCA" w:rsidRDefault="005C0056" w:rsidP="005C0056">
      <w:pPr>
        <w:spacing w:after="0" w:line="360" w:lineRule="auto"/>
        <w:ind w:firstLine="709"/>
        <w:jc w:val="both"/>
        <w:rPr>
          <w:rFonts w:ascii="Bookman Old Style" w:hAnsi="Bookman Old Style" w:cs="Arial"/>
          <w:spacing w:val="-4"/>
          <w:sz w:val="28"/>
          <w:szCs w:val="28"/>
        </w:rPr>
      </w:pPr>
      <w:r w:rsidRPr="007E2DCA">
        <w:rPr>
          <w:rFonts w:ascii="Bookman Old Style" w:hAnsi="Bookman Old Style" w:cs="Arial"/>
          <w:spacing w:val="-4"/>
          <w:sz w:val="28"/>
          <w:szCs w:val="28"/>
        </w:rPr>
        <w:t xml:space="preserve">Finalmente, el 21 de julio siguiente, </w:t>
      </w:r>
      <w:r w:rsidR="00070D9D" w:rsidRPr="007E2DCA">
        <w:rPr>
          <w:rFonts w:ascii="Bookman Old Style" w:hAnsi="Bookman Old Style" w:cs="Arial"/>
          <w:smallCaps/>
          <w:spacing w:val="-4"/>
          <w:sz w:val="28"/>
          <w:szCs w:val="28"/>
        </w:rPr>
        <w:t>Haidee Gámez Ruiz,</w:t>
      </w:r>
      <w:r w:rsidRPr="007E2DCA">
        <w:rPr>
          <w:rFonts w:ascii="Bookman Old Style" w:hAnsi="Bookman Old Style" w:cs="Arial"/>
          <w:spacing w:val="-4"/>
          <w:sz w:val="28"/>
          <w:szCs w:val="28"/>
        </w:rPr>
        <w:t xml:space="preserve"> en calidad de Juez Promiscuo Municipal de Restrepo (Meta), aprobó el principio de oportunidad sin permitir la intervención de la apoderada de la víctima.</w:t>
      </w:r>
    </w:p>
    <w:p w14:paraId="4DE9895D" w14:textId="77777777" w:rsidR="005C0056" w:rsidRPr="007E2DCA" w:rsidRDefault="005C0056" w:rsidP="001D4E17">
      <w:pPr>
        <w:spacing w:after="0" w:line="360" w:lineRule="auto"/>
        <w:jc w:val="center"/>
        <w:rPr>
          <w:rFonts w:ascii="Bookman Old Style" w:hAnsi="Bookman Old Style" w:cs="Arial"/>
          <w:spacing w:val="-4"/>
          <w:sz w:val="28"/>
          <w:szCs w:val="28"/>
        </w:rPr>
      </w:pPr>
    </w:p>
    <w:p w14:paraId="207DC33F" w14:textId="7115018E" w:rsidR="001B2CE5" w:rsidRPr="007E2DCA" w:rsidRDefault="003C605D" w:rsidP="001D4E17">
      <w:pPr>
        <w:spacing w:after="0" w:line="360" w:lineRule="auto"/>
        <w:jc w:val="center"/>
        <w:rPr>
          <w:rFonts w:ascii="Bookman Old Style" w:hAnsi="Bookman Old Style" w:cs="Arial"/>
          <w:b/>
          <w:bCs/>
          <w:spacing w:val="-4"/>
          <w:sz w:val="28"/>
          <w:szCs w:val="28"/>
          <w:lang w:val="es-ES_tradnl"/>
        </w:rPr>
      </w:pPr>
      <w:r w:rsidRPr="007E2DCA">
        <w:rPr>
          <w:rFonts w:ascii="Bookman Old Style" w:hAnsi="Bookman Old Style" w:cs="Arial"/>
          <w:b/>
          <w:bCs/>
          <w:spacing w:val="-4"/>
          <w:sz w:val="28"/>
          <w:szCs w:val="28"/>
          <w:lang w:val="es-ES_tradnl"/>
        </w:rPr>
        <w:t xml:space="preserve">III. </w:t>
      </w:r>
      <w:r w:rsidR="001B2CE5" w:rsidRPr="007E2DCA">
        <w:rPr>
          <w:rFonts w:ascii="Bookman Old Style" w:hAnsi="Bookman Old Style" w:cs="Arial"/>
          <w:b/>
          <w:bCs/>
          <w:spacing w:val="-4"/>
          <w:sz w:val="28"/>
          <w:szCs w:val="28"/>
          <w:lang w:val="es-ES_tradnl"/>
        </w:rPr>
        <w:t>ANTECEDENTES PROCESALES</w:t>
      </w:r>
    </w:p>
    <w:p w14:paraId="13B81058" w14:textId="77777777" w:rsidR="001B2CE5" w:rsidRPr="007E2DCA" w:rsidRDefault="001B2CE5" w:rsidP="001D4E17">
      <w:pPr>
        <w:spacing w:after="0" w:line="360" w:lineRule="auto"/>
        <w:jc w:val="center"/>
        <w:rPr>
          <w:rFonts w:ascii="Bookman Old Style" w:hAnsi="Bookman Old Style" w:cs="Arial"/>
          <w:b/>
          <w:bCs/>
          <w:spacing w:val="-4"/>
          <w:sz w:val="28"/>
          <w:szCs w:val="28"/>
          <w:lang w:val="es-ES_tradnl"/>
        </w:rPr>
      </w:pPr>
    </w:p>
    <w:p w14:paraId="63E53F2B" w14:textId="0A2906E5" w:rsidR="007C035A" w:rsidRPr="007E2DCA" w:rsidRDefault="003C605D" w:rsidP="007C035A">
      <w:pPr>
        <w:widowControl w:val="0"/>
        <w:spacing w:after="0" w:line="360" w:lineRule="auto"/>
        <w:ind w:firstLine="709"/>
        <w:jc w:val="both"/>
        <w:rPr>
          <w:rFonts w:ascii="Bookman Old Style" w:hAnsi="Bookman Old Style" w:cs="Arial"/>
          <w:spacing w:val="-4"/>
          <w:sz w:val="28"/>
          <w:szCs w:val="28"/>
        </w:rPr>
      </w:pPr>
      <w:r w:rsidRPr="007E2DCA">
        <w:rPr>
          <w:rFonts w:ascii="Bookman Old Style" w:hAnsi="Bookman Old Style"/>
          <w:bCs/>
          <w:spacing w:val="-4"/>
          <w:sz w:val="28"/>
          <w:szCs w:val="28"/>
          <w:lang w:val="es-ES_tradnl"/>
        </w:rPr>
        <w:t xml:space="preserve">1. </w:t>
      </w:r>
      <w:r w:rsidR="007113AC" w:rsidRPr="007E2DCA">
        <w:rPr>
          <w:rFonts w:ascii="Bookman Old Style" w:hAnsi="Bookman Old Style"/>
          <w:bCs/>
          <w:spacing w:val="-4"/>
          <w:sz w:val="28"/>
          <w:szCs w:val="28"/>
          <w:lang w:val="es-ES_tradnl"/>
        </w:rPr>
        <w:t>El</w:t>
      </w:r>
      <w:r w:rsidR="00CF1908" w:rsidRPr="007E2DCA">
        <w:rPr>
          <w:rFonts w:ascii="Bookman Old Style" w:hAnsi="Bookman Old Style"/>
          <w:bCs/>
          <w:spacing w:val="-4"/>
          <w:sz w:val="28"/>
          <w:szCs w:val="28"/>
          <w:lang w:val="es-ES_tradnl"/>
        </w:rPr>
        <w:t xml:space="preserve"> </w:t>
      </w:r>
      <w:r w:rsidR="004E5DCC" w:rsidRPr="007E2DCA">
        <w:rPr>
          <w:rFonts w:ascii="Bookman Old Style" w:hAnsi="Bookman Old Style"/>
          <w:bCs/>
          <w:spacing w:val="-4"/>
          <w:sz w:val="28"/>
          <w:szCs w:val="28"/>
          <w:lang w:val="es-ES_tradnl"/>
        </w:rPr>
        <w:t>9 de julio de 2024</w:t>
      </w:r>
      <w:r w:rsidR="00A70A60" w:rsidRPr="007E2DCA">
        <w:rPr>
          <w:rFonts w:ascii="Bookman Old Style" w:hAnsi="Bookman Old Style"/>
          <w:bCs/>
          <w:spacing w:val="-4"/>
          <w:sz w:val="28"/>
          <w:szCs w:val="28"/>
          <w:lang w:val="es-ES_tradnl"/>
        </w:rPr>
        <w:t xml:space="preserve">, la </w:t>
      </w:r>
      <w:r w:rsidR="004E5DCC" w:rsidRPr="007E2DCA">
        <w:rPr>
          <w:rFonts w:ascii="Bookman Old Style" w:hAnsi="Bookman Old Style"/>
          <w:bCs/>
          <w:spacing w:val="-4"/>
          <w:sz w:val="28"/>
          <w:szCs w:val="28"/>
          <w:lang w:val="es-ES_tradnl"/>
        </w:rPr>
        <w:t>F</w:t>
      </w:r>
      <w:r w:rsidR="00A70A60" w:rsidRPr="007E2DCA">
        <w:rPr>
          <w:rFonts w:ascii="Bookman Old Style" w:hAnsi="Bookman Old Style"/>
          <w:bCs/>
          <w:spacing w:val="-4"/>
          <w:sz w:val="28"/>
          <w:szCs w:val="28"/>
          <w:lang w:val="es-ES_tradnl"/>
        </w:rPr>
        <w:t xml:space="preserve">iscalía </w:t>
      </w:r>
      <w:r w:rsidR="004E5DCC" w:rsidRPr="007E2DCA">
        <w:rPr>
          <w:rFonts w:ascii="Bookman Old Style" w:hAnsi="Bookman Old Style"/>
          <w:bCs/>
          <w:spacing w:val="-4"/>
          <w:sz w:val="28"/>
          <w:szCs w:val="28"/>
          <w:lang w:val="es-ES_tradnl"/>
        </w:rPr>
        <w:t xml:space="preserve">presentó escrito de acusación </w:t>
      </w:r>
      <w:r w:rsidR="007C035A" w:rsidRPr="007E2DCA">
        <w:rPr>
          <w:rFonts w:ascii="Bookman Old Style" w:hAnsi="Bookman Old Style"/>
          <w:bCs/>
          <w:spacing w:val="-4"/>
          <w:sz w:val="28"/>
          <w:szCs w:val="28"/>
          <w:lang w:val="es-ES_tradnl"/>
        </w:rPr>
        <w:t>contra</w:t>
      </w:r>
      <w:r w:rsidR="004E5DCC" w:rsidRPr="007E2DCA">
        <w:rPr>
          <w:rFonts w:ascii="Bookman Old Style" w:hAnsi="Bookman Old Style"/>
          <w:bCs/>
          <w:spacing w:val="-4"/>
          <w:sz w:val="28"/>
          <w:szCs w:val="28"/>
          <w:lang w:val="es-ES_tradnl"/>
        </w:rPr>
        <w:t xml:space="preserve"> </w:t>
      </w:r>
      <w:r w:rsidR="004E5DCC" w:rsidRPr="007E2DCA">
        <w:rPr>
          <w:rFonts w:ascii="Bookman Old Style" w:hAnsi="Bookman Old Style" w:cs="Arial"/>
          <w:smallCaps/>
          <w:spacing w:val="-4"/>
          <w:sz w:val="28"/>
          <w:szCs w:val="28"/>
          <w:lang w:val="es-ES"/>
        </w:rPr>
        <w:t>Claudia Melissa García Luna,</w:t>
      </w:r>
      <w:r w:rsidR="004E5DCC" w:rsidRPr="007E2DCA">
        <w:rPr>
          <w:rFonts w:ascii="Bookman Old Style" w:hAnsi="Bookman Old Style" w:cs="Arial"/>
          <w:spacing w:val="-4"/>
          <w:sz w:val="28"/>
          <w:szCs w:val="28"/>
        </w:rPr>
        <w:t xml:space="preserve"> en su calidad de fiscal 19 seccional de Villavicencio, y </w:t>
      </w:r>
      <w:r w:rsidR="004E5DCC" w:rsidRPr="007E2DCA">
        <w:rPr>
          <w:rFonts w:ascii="Bookman Old Style" w:hAnsi="Bookman Old Style" w:cs="Arial"/>
          <w:smallCaps/>
          <w:spacing w:val="-4"/>
          <w:sz w:val="28"/>
          <w:szCs w:val="28"/>
          <w:lang w:val="es-ES"/>
        </w:rPr>
        <w:t>Haidee Gámez Ruiz,</w:t>
      </w:r>
      <w:r w:rsidR="004E5DCC" w:rsidRPr="007E2DCA">
        <w:rPr>
          <w:rFonts w:ascii="Bookman Old Style" w:hAnsi="Bookman Old Style" w:cs="Arial"/>
          <w:spacing w:val="-4"/>
          <w:sz w:val="28"/>
          <w:szCs w:val="28"/>
        </w:rPr>
        <w:t xml:space="preserve"> en su condición de titular del Juzgado Promiscuo Municipal de Restrepo, </w:t>
      </w:r>
      <w:r w:rsidR="007C035A" w:rsidRPr="007E2DCA">
        <w:rPr>
          <w:rFonts w:ascii="Bookman Old Style" w:hAnsi="Bookman Old Style" w:cs="Arial"/>
          <w:spacing w:val="-4"/>
          <w:sz w:val="28"/>
          <w:szCs w:val="28"/>
        </w:rPr>
        <w:t xml:space="preserve">por el delito de prevaricato por acción, con ocasión </w:t>
      </w:r>
      <w:r w:rsidR="007C035A" w:rsidRPr="007E2DCA">
        <w:rPr>
          <w:rFonts w:ascii="Bookman Old Style" w:hAnsi="Bookman Old Style" w:cs="Arial"/>
          <w:spacing w:val="-4"/>
          <w:sz w:val="28"/>
          <w:szCs w:val="28"/>
        </w:rPr>
        <w:lastRenderedPageBreak/>
        <w:t xml:space="preserve">de su intervención en la aplicación del principio de oportunidad a favor de William Alberto Rubio Herrera dentro del </w:t>
      </w:r>
      <w:r w:rsidR="00764505" w:rsidRPr="007E2DCA">
        <w:rPr>
          <w:rFonts w:ascii="Bookman Old Style" w:hAnsi="Bookman Old Style" w:cs="Arial"/>
          <w:spacing w:val="-4"/>
          <w:sz w:val="28"/>
          <w:szCs w:val="28"/>
        </w:rPr>
        <w:t>radicado</w:t>
      </w:r>
      <w:r w:rsidR="007C035A" w:rsidRPr="007E2DCA">
        <w:rPr>
          <w:rFonts w:ascii="Bookman Old Style" w:hAnsi="Bookman Old Style" w:cs="Arial"/>
          <w:spacing w:val="-4"/>
          <w:sz w:val="28"/>
          <w:szCs w:val="28"/>
        </w:rPr>
        <w:t xml:space="preserve"> 500016000567201300984.</w:t>
      </w:r>
    </w:p>
    <w:p w14:paraId="260AE240" w14:textId="77777777" w:rsidR="00022018" w:rsidRPr="007E2DCA" w:rsidRDefault="00022018" w:rsidP="001D4E17">
      <w:pPr>
        <w:widowControl w:val="0"/>
        <w:spacing w:after="0" w:line="360" w:lineRule="auto"/>
        <w:ind w:firstLine="709"/>
        <w:jc w:val="both"/>
        <w:rPr>
          <w:rFonts w:ascii="Bookman Old Style" w:hAnsi="Bookman Old Style"/>
          <w:bCs/>
          <w:spacing w:val="-4"/>
          <w:sz w:val="28"/>
          <w:szCs w:val="28"/>
          <w:lang w:val="es-ES_tradnl"/>
        </w:rPr>
      </w:pPr>
    </w:p>
    <w:p w14:paraId="45FA7FBF" w14:textId="7512C7CB" w:rsidR="003C6634" w:rsidRPr="007E2DCA" w:rsidRDefault="00022018" w:rsidP="001D4E17">
      <w:pPr>
        <w:widowControl w:val="0"/>
        <w:spacing w:after="0" w:line="360" w:lineRule="auto"/>
        <w:ind w:firstLine="709"/>
        <w:jc w:val="both"/>
        <w:rPr>
          <w:rFonts w:ascii="Bookman Old Style" w:hAnsi="Bookman Old Style"/>
          <w:bCs/>
          <w:spacing w:val="-4"/>
          <w:sz w:val="28"/>
          <w:szCs w:val="28"/>
          <w:lang w:val="es-ES_tradnl"/>
        </w:rPr>
      </w:pPr>
      <w:r w:rsidRPr="007E2DCA">
        <w:rPr>
          <w:rFonts w:ascii="Bookman Old Style" w:hAnsi="Bookman Old Style"/>
          <w:bCs/>
          <w:spacing w:val="-4"/>
          <w:sz w:val="28"/>
          <w:szCs w:val="28"/>
          <w:lang w:val="es-ES_tradnl"/>
        </w:rPr>
        <w:t xml:space="preserve">2. </w:t>
      </w:r>
      <w:r w:rsidR="00CE5435" w:rsidRPr="007E2DCA">
        <w:rPr>
          <w:rFonts w:ascii="Bookman Old Style" w:hAnsi="Bookman Old Style"/>
          <w:bCs/>
          <w:spacing w:val="-4"/>
          <w:sz w:val="28"/>
          <w:szCs w:val="28"/>
          <w:lang w:val="es-ES_tradnl"/>
        </w:rPr>
        <w:t>E</w:t>
      </w:r>
      <w:r w:rsidR="003C6634" w:rsidRPr="007E2DCA">
        <w:rPr>
          <w:rFonts w:ascii="Bookman Old Style" w:hAnsi="Bookman Old Style"/>
          <w:bCs/>
          <w:spacing w:val="-4"/>
          <w:sz w:val="28"/>
          <w:szCs w:val="28"/>
          <w:lang w:val="es-ES_tradnl"/>
        </w:rPr>
        <w:t>l 3 de septiembre de 2024, tras el trámite de impedimento, l</w:t>
      </w:r>
      <w:r w:rsidR="00F15325" w:rsidRPr="007E2DCA">
        <w:rPr>
          <w:rFonts w:ascii="Bookman Old Style" w:hAnsi="Bookman Old Style"/>
          <w:bCs/>
          <w:spacing w:val="-4"/>
          <w:sz w:val="28"/>
          <w:szCs w:val="28"/>
          <w:lang w:val="es-ES_tradnl"/>
        </w:rPr>
        <w:t xml:space="preserve">a Sala Penal </w:t>
      </w:r>
      <w:r w:rsidR="003C6634" w:rsidRPr="007E2DCA">
        <w:rPr>
          <w:rFonts w:ascii="Bookman Old Style" w:hAnsi="Bookman Old Style"/>
          <w:bCs/>
          <w:spacing w:val="-4"/>
          <w:sz w:val="28"/>
          <w:szCs w:val="28"/>
          <w:lang w:val="es-ES_tradnl"/>
        </w:rPr>
        <w:t xml:space="preserve">N°005 </w:t>
      </w:r>
      <w:r w:rsidR="00F15325" w:rsidRPr="007E2DCA">
        <w:rPr>
          <w:rFonts w:ascii="Bookman Old Style" w:hAnsi="Bookman Old Style"/>
          <w:bCs/>
          <w:spacing w:val="-4"/>
          <w:sz w:val="28"/>
          <w:szCs w:val="28"/>
          <w:lang w:val="es-ES_tradnl"/>
        </w:rPr>
        <w:t xml:space="preserve">del Tribunal Superior de Villavicencio </w:t>
      </w:r>
      <w:r w:rsidR="003C6634" w:rsidRPr="007E2DCA">
        <w:rPr>
          <w:rFonts w:ascii="Bookman Old Style" w:hAnsi="Bookman Old Style"/>
          <w:bCs/>
          <w:spacing w:val="-4"/>
          <w:sz w:val="28"/>
          <w:szCs w:val="28"/>
          <w:lang w:val="es-ES_tradnl"/>
        </w:rPr>
        <w:t>asumió</w:t>
      </w:r>
      <w:r w:rsidR="00F15325" w:rsidRPr="007E2DCA">
        <w:rPr>
          <w:rFonts w:ascii="Bookman Old Style" w:hAnsi="Bookman Old Style"/>
          <w:bCs/>
          <w:spacing w:val="-4"/>
          <w:sz w:val="28"/>
          <w:szCs w:val="28"/>
          <w:lang w:val="es-ES_tradnl"/>
        </w:rPr>
        <w:t xml:space="preserve"> conocimiento </w:t>
      </w:r>
      <w:r w:rsidR="003C6634" w:rsidRPr="007E2DCA">
        <w:rPr>
          <w:rFonts w:ascii="Bookman Old Style" w:hAnsi="Bookman Old Style"/>
          <w:bCs/>
          <w:spacing w:val="-4"/>
          <w:sz w:val="28"/>
          <w:szCs w:val="28"/>
          <w:lang w:val="es-ES_tradnl"/>
        </w:rPr>
        <w:t>del</w:t>
      </w:r>
      <w:r w:rsidR="00764505" w:rsidRPr="007E2DCA">
        <w:rPr>
          <w:rFonts w:ascii="Bookman Old Style" w:hAnsi="Bookman Old Style"/>
          <w:bCs/>
          <w:spacing w:val="-4"/>
          <w:sz w:val="28"/>
          <w:szCs w:val="28"/>
          <w:lang w:val="es-ES_tradnl"/>
        </w:rPr>
        <w:t xml:space="preserve"> asunto. </w:t>
      </w:r>
    </w:p>
    <w:p w14:paraId="45BAD5A7" w14:textId="77777777" w:rsidR="003C6634" w:rsidRPr="007E2DCA" w:rsidRDefault="003C6634" w:rsidP="001D4E17">
      <w:pPr>
        <w:widowControl w:val="0"/>
        <w:spacing w:after="0" w:line="360" w:lineRule="auto"/>
        <w:ind w:firstLine="709"/>
        <w:jc w:val="both"/>
        <w:rPr>
          <w:rFonts w:ascii="Bookman Old Style" w:hAnsi="Bookman Old Style"/>
          <w:bCs/>
          <w:spacing w:val="-4"/>
          <w:sz w:val="28"/>
          <w:szCs w:val="28"/>
          <w:lang w:val="es-ES_tradnl"/>
        </w:rPr>
      </w:pPr>
    </w:p>
    <w:p w14:paraId="48523D58" w14:textId="6C5E02AC" w:rsidR="00022018" w:rsidRPr="007E2DCA" w:rsidRDefault="003C6634" w:rsidP="001D4E17">
      <w:pPr>
        <w:widowControl w:val="0"/>
        <w:spacing w:after="0" w:line="360" w:lineRule="auto"/>
        <w:ind w:firstLine="709"/>
        <w:jc w:val="both"/>
        <w:rPr>
          <w:rFonts w:ascii="Bookman Old Style" w:hAnsi="Bookman Old Style"/>
          <w:bCs/>
          <w:spacing w:val="-4"/>
          <w:sz w:val="28"/>
          <w:szCs w:val="28"/>
          <w:lang w:val="es-ES_tradnl"/>
        </w:rPr>
      </w:pPr>
      <w:r w:rsidRPr="007E2DCA">
        <w:rPr>
          <w:rFonts w:ascii="Bookman Old Style" w:hAnsi="Bookman Old Style"/>
          <w:bCs/>
          <w:spacing w:val="-4"/>
          <w:sz w:val="28"/>
          <w:szCs w:val="28"/>
          <w:lang w:val="es-ES_tradnl"/>
        </w:rPr>
        <w:t xml:space="preserve">3. </w:t>
      </w:r>
      <w:r w:rsidR="00764505" w:rsidRPr="007E2DCA">
        <w:rPr>
          <w:rFonts w:ascii="Bookman Old Style" w:hAnsi="Bookman Old Style"/>
          <w:bCs/>
          <w:spacing w:val="-4"/>
          <w:sz w:val="28"/>
          <w:szCs w:val="28"/>
          <w:lang w:val="es-ES_tradnl"/>
        </w:rPr>
        <w:t xml:space="preserve">La audiencia de formulación de acusación tuvo lugar el </w:t>
      </w:r>
      <w:r w:rsidRPr="007E2DCA">
        <w:rPr>
          <w:rFonts w:ascii="Bookman Old Style" w:hAnsi="Bookman Old Style"/>
          <w:bCs/>
          <w:spacing w:val="-4"/>
          <w:sz w:val="28"/>
          <w:szCs w:val="28"/>
          <w:lang w:val="es-ES_tradnl"/>
        </w:rPr>
        <w:t>1° y el 30 de octubre del mismo año. En sesiones del 12 de enero, 6 de febrero y 29 de mayo de 2025, se llevó a cabo la audiencia preparatoria.</w:t>
      </w:r>
    </w:p>
    <w:p w14:paraId="3B5849F1" w14:textId="77777777" w:rsidR="00022018" w:rsidRPr="007E2DCA" w:rsidRDefault="00022018" w:rsidP="001D4E17">
      <w:pPr>
        <w:widowControl w:val="0"/>
        <w:spacing w:after="0" w:line="360" w:lineRule="auto"/>
        <w:ind w:firstLine="709"/>
        <w:jc w:val="both"/>
        <w:rPr>
          <w:rFonts w:ascii="Bookman Old Style" w:hAnsi="Bookman Old Style"/>
          <w:bCs/>
          <w:spacing w:val="-4"/>
          <w:sz w:val="28"/>
          <w:szCs w:val="28"/>
          <w:lang w:val="es-ES_tradnl"/>
        </w:rPr>
      </w:pPr>
    </w:p>
    <w:p w14:paraId="7A6B3694" w14:textId="77777777" w:rsidR="00F0794C" w:rsidRPr="007E2DCA" w:rsidRDefault="00022018" w:rsidP="006D33DC">
      <w:pPr>
        <w:widowControl w:val="0"/>
        <w:spacing w:after="0" w:line="360" w:lineRule="auto"/>
        <w:ind w:firstLine="709"/>
        <w:jc w:val="both"/>
        <w:rPr>
          <w:rFonts w:ascii="Bookman Old Style" w:hAnsi="Bookman Old Style"/>
          <w:bCs/>
          <w:spacing w:val="-4"/>
          <w:sz w:val="28"/>
          <w:szCs w:val="28"/>
          <w:lang w:val="es-ES_tradnl"/>
        </w:rPr>
      </w:pPr>
      <w:r w:rsidRPr="007E2DCA">
        <w:rPr>
          <w:rFonts w:ascii="Bookman Old Style" w:hAnsi="Bookman Old Style"/>
          <w:bCs/>
          <w:spacing w:val="-4"/>
          <w:sz w:val="28"/>
          <w:szCs w:val="28"/>
          <w:lang w:val="es-ES_tradnl"/>
        </w:rPr>
        <w:t xml:space="preserve">3. </w:t>
      </w:r>
      <w:r w:rsidR="008E5BFE" w:rsidRPr="007E2DCA">
        <w:rPr>
          <w:rFonts w:ascii="Bookman Old Style" w:hAnsi="Bookman Old Style"/>
          <w:bCs/>
          <w:spacing w:val="-4"/>
          <w:sz w:val="28"/>
          <w:szCs w:val="28"/>
          <w:lang w:val="es-ES_tradnl"/>
        </w:rPr>
        <w:t>El</w:t>
      </w:r>
      <w:r w:rsidR="00E31E90" w:rsidRPr="007E2DCA">
        <w:rPr>
          <w:rFonts w:ascii="Bookman Old Style" w:hAnsi="Bookman Old Style"/>
          <w:bCs/>
          <w:spacing w:val="-4"/>
          <w:sz w:val="28"/>
          <w:szCs w:val="28"/>
          <w:lang w:val="es-ES_tradnl"/>
        </w:rPr>
        <w:t xml:space="preserve"> </w:t>
      </w:r>
      <w:r w:rsidR="003C6634" w:rsidRPr="007E2DCA">
        <w:rPr>
          <w:rFonts w:ascii="Bookman Old Style" w:hAnsi="Bookman Old Style"/>
          <w:bCs/>
          <w:spacing w:val="-4"/>
          <w:sz w:val="28"/>
          <w:szCs w:val="28"/>
          <w:lang w:val="es-ES_tradnl"/>
        </w:rPr>
        <w:t>14 de abril de 2026</w:t>
      </w:r>
      <w:r w:rsidR="008E5BFE" w:rsidRPr="007E2DCA">
        <w:rPr>
          <w:rFonts w:ascii="Bookman Old Style" w:hAnsi="Bookman Old Style"/>
          <w:bCs/>
          <w:spacing w:val="-4"/>
          <w:sz w:val="28"/>
          <w:szCs w:val="28"/>
          <w:lang w:val="es-ES_tradnl"/>
        </w:rPr>
        <w:t xml:space="preserve">, el Tribunal tramitó la primera audiencia del juicio oral. </w:t>
      </w:r>
    </w:p>
    <w:p w14:paraId="3F0EB6B4" w14:textId="77777777" w:rsidR="00F0794C" w:rsidRPr="007E2DCA" w:rsidRDefault="00F0794C" w:rsidP="006D33DC">
      <w:pPr>
        <w:widowControl w:val="0"/>
        <w:spacing w:after="0" w:line="360" w:lineRule="auto"/>
        <w:ind w:firstLine="709"/>
        <w:jc w:val="both"/>
        <w:rPr>
          <w:rFonts w:ascii="Bookman Old Style" w:hAnsi="Bookman Old Style"/>
          <w:bCs/>
          <w:spacing w:val="-4"/>
          <w:sz w:val="28"/>
          <w:szCs w:val="28"/>
          <w:lang w:val="es-ES_tradnl"/>
        </w:rPr>
      </w:pPr>
    </w:p>
    <w:p w14:paraId="2E171EBE" w14:textId="467116C5" w:rsidR="00F86D34" w:rsidRPr="007E2DCA" w:rsidRDefault="008E5BFE" w:rsidP="006D33DC">
      <w:pPr>
        <w:widowControl w:val="0"/>
        <w:spacing w:after="0" w:line="360" w:lineRule="auto"/>
        <w:ind w:firstLine="709"/>
        <w:jc w:val="both"/>
        <w:rPr>
          <w:rFonts w:ascii="Bookman Old Style" w:hAnsi="Bookman Old Style"/>
          <w:spacing w:val="-4"/>
          <w:sz w:val="28"/>
          <w:szCs w:val="28"/>
        </w:rPr>
      </w:pPr>
      <w:r w:rsidRPr="007E2DCA">
        <w:rPr>
          <w:rFonts w:ascii="Bookman Old Style" w:hAnsi="Bookman Old Style"/>
          <w:bCs/>
          <w:spacing w:val="-4"/>
          <w:sz w:val="28"/>
          <w:szCs w:val="28"/>
          <w:lang w:val="es-ES_tradnl"/>
        </w:rPr>
        <w:t xml:space="preserve">En esta oportunidad, </w:t>
      </w:r>
      <w:r w:rsidR="006D33DC" w:rsidRPr="007E2DCA">
        <w:rPr>
          <w:rFonts w:ascii="Bookman Old Style" w:hAnsi="Bookman Old Style"/>
          <w:bCs/>
          <w:spacing w:val="-4"/>
          <w:sz w:val="28"/>
          <w:szCs w:val="28"/>
        </w:rPr>
        <w:t xml:space="preserve">la Fiscalía solicitó </w:t>
      </w:r>
      <w:r w:rsidR="00D237FF" w:rsidRPr="007E2DCA">
        <w:rPr>
          <w:rFonts w:ascii="Bookman Old Style" w:hAnsi="Bookman Old Style"/>
          <w:bCs/>
          <w:spacing w:val="-4"/>
          <w:sz w:val="28"/>
          <w:szCs w:val="28"/>
        </w:rPr>
        <w:t xml:space="preserve">al Tribunal </w:t>
      </w:r>
      <w:r w:rsidR="00F0794C" w:rsidRPr="007E2DCA">
        <w:rPr>
          <w:rFonts w:ascii="Bookman Old Style" w:hAnsi="Bookman Old Style"/>
          <w:bCs/>
          <w:spacing w:val="-4"/>
          <w:sz w:val="28"/>
          <w:szCs w:val="28"/>
        </w:rPr>
        <w:t xml:space="preserve">declarar la incompatibilidad del </w:t>
      </w:r>
      <w:r w:rsidR="006D33DC" w:rsidRPr="007E2DCA">
        <w:rPr>
          <w:rFonts w:ascii="Bookman Old Style" w:hAnsi="Bookman Old Style"/>
          <w:bCs/>
          <w:spacing w:val="-4"/>
          <w:sz w:val="28"/>
          <w:szCs w:val="28"/>
        </w:rPr>
        <w:t xml:space="preserve">abogado Óscar León Serrano Franco </w:t>
      </w:r>
      <w:r w:rsidR="00F0794C" w:rsidRPr="007E2DCA">
        <w:rPr>
          <w:rFonts w:ascii="Bookman Old Style" w:hAnsi="Bookman Old Style"/>
          <w:bCs/>
          <w:spacing w:val="-4"/>
          <w:sz w:val="28"/>
          <w:szCs w:val="28"/>
        </w:rPr>
        <w:t xml:space="preserve">para ejercer </w:t>
      </w:r>
      <w:r w:rsidR="006D33DC" w:rsidRPr="007E2DCA">
        <w:rPr>
          <w:rFonts w:ascii="Bookman Old Style" w:hAnsi="Bookman Old Style"/>
          <w:bCs/>
          <w:spacing w:val="-4"/>
          <w:sz w:val="28"/>
          <w:szCs w:val="28"/>
        </w:rPr>
        <w:t>la defensa d</w:t>
      </w:r>
      <w:r w:rsidRPr="007E2DCA">
        <w:rPr>
          <w:rFonts w:ascii="Bookman Old Style" w:hAnsi="Bookman Old Style"/>
          <w:bCs/>
          <w:spacing w:val="-4"/>
          <w:sz w:val="28"/>
          <w:szCs w:val="28"/>
          <w:lang w:val="es-ES_tradnl"/>
        </w:rPr>
        <w:t xml:space="preserve">e </w:t>
      </w:r>
      <w:r w:rsidRPr="007E2DCA">
        <w:rPr>
          <w:rFonts w:ascii="Bookman Old Style" w:hAnsi="Bookman Old Style" w:cs="Arial"/>
          <w:smallCaps/>
          <w:spacing w:val="-4"/>
          <w:sz w:val="28"/>
          <w:szCs w:val="28"/>
          <w:lang w:val="es-ES"/>
        </w:rPr>
        <w:t xml:space="preserve">Claudia Melissa García Luna, </w:t>
      </w:r>
      <w:r w:rsidR="006D33DC" w:rsidRPr="007E2DCA">
        <w:rPr>
          <w:rFonts w:ascii="Bookman Old Style" w:hAnsi="Bookman Old Style"/>
          <w:spacing w:val="-4"/>
          <w:sz w:val="28"/>
          <w:szCs w:val="28"/>
        </w:rPr>
        <w:t>debido a que, cuando se desempeñó como fiscal segundo delegado ante ese Tribunal, integró un comité técnico relacionado directamente con el presente proceso.</w:t>
      </w:r>
      <w:r w:rsidR="00F0794C" w:rsidRPr="007E2DCA">
        <w:rPr>
          <w:rFonts w:ascii="Bookman Old Style" w:hAnsi="Bookman Old Style"/>
          <w:spacing w:val="-4"/>
          <w:sz w:val="28"/>
          <w:szCs w:val="28"/>
        </w:rPr>
        <w:t xml:space="preserve"> </w:t>
      </w:r>
    </w:p>
    <w:p w14:paraId="3C398405" w14:textId="77777777" w:rsidR="00F86D34" w:rsidRPr="007E2DCA" w:rsidRDefault="00F86D34" w:rsidP="006D33DC">
      <w:pPr>
        <w:widowControl w:val="0"/>
        <w:spacing w:after="0" w:line="360" w:lineRule="auto"/>
        <w:ind w:firstLine="709"/>
        <w:jc w:val="both"/>
        <w:rPr>
          <w:rFonts w:ascii="Bookman Old Style" w:hAnsi="Bookman Old Style"/>
          <w:spacing w:val="-4"/>
          <w:sz w:val="28"/>
          <w:szCs w:val="28"/>
        </w:rPr>
      </w:pPr>
    </w:p>
    <w:p w14:paraId="26E472FC" w14:textId="34B6A98C" w:rsidR="006D33DC" w:rsidRPr="007E2DCA" w:rsidRDefault="009459A0" w:rsidP="00046412">
      <w:pPr>
        <w:widowControl w:val="0"/>
        <w:spacing w:after="0" w:line="360" w:lineRule="auto"/>
        <w:ind w:firstLine="709"/>
        <w:jc w:val="both"/>
        <w:rPr>
          <w:rFonts w:ascii="Bookman Old Style" w:hAnsi="Bookman Old Style"/>
          <w:bCs/>
          <w:spacing w:val="-4"/>
          <w:sz w:val="28"/>
          <w:szCs w:val="28"/>
          <w:lang w:val="es-ES_tradnl"/>
        </w:rPr>
      </w:pPr>
      <w:r w:rsidRPr="007E2DCA">
        <w:rPr>
          <w:rFonts w:ascii="Bookman Old Style" w:hAnsi="Bookman Old Style"/>
          <w:spacing w:val="-4"/>
          <w:sz w:val="28"/>
          <w:szCs w:val="28"/>
        </w:rPr>
        <w:t>Esa Corporación</w:t>
      </w:r>
      <w:r w:rsidR="006D33DC" w:rsidRPr="007E2DCA">
        <w:rPr>
          <w:rFonts w:ascii="Bookman Old Style" w:hAnsi="Bookman Old Style"/>
          <w:spacing w:val="-4"/>
          <w:sz w:val="28"/>
          <w:szCs w:val="28"/>
        </w:rPr>
        <w:t xml:space="preserve"> negó dicha solicitud e informó que contra </w:t>
      </w:r>
      <w:r w:rsidR="00F0794C" w:rsidRPr="007E2DCA">
        <w:rPr>
          <w:rFonts w:ascii="Bookman Old Style" w:hAnsi="Bookman Old Style"/>
          <w:spacing w:val="-4"/>
          <w:sz w:val="28"/>
          <w:szCs w:val="28"/>
        </w:rPr>
        <w:t xml:space="preserve">tal </w:t>
      </w:r>
      <w:r w:rsidR="006D33DC" w:rsidRPr="007E2DCA">
        <w:rPr>
          <w:rFonts w:ascii="Bookman Old Style" w:hAnsi="Bookman Old Style"/>
          <w:spacing w:val="-4"/>
          <w:sz w:val="28"/>
          <w:szCs w:val="28"/>
        </w:rPr>
        <w:t xml:space="preserve">decisión cabía el recurso de reposición. La Fiscalía </w:t>
      </w:r>
      <w:r w:rsidR="00F0794C" w:rsidRPr="007E2DCA">
        <w:rPr>
          <w:rFonts w:ascii="Bookman Old Style" w:hAnsi="Bookman Old Style"/>
          <w:spacing w:val="-4"/>
          <w:sz w:val="28"/>
          <w:szCs w:val="28"/>
        </w:rPr>
        <w:t>precisó que, a su juicio, la decisión era susceptible de apelación, por lo que presentó recurso de queja</w:t>
      </w:r>
      <w:r w:rsidR="00F86D34" w:rsidRPr="007E2DCA">
        <w:rPr>
          <w:rFonts w:ascii="Bookman Old Style" w:hAnsi="Bookman Old Style"/>
          <w:spacing w:val="-4"/>
          <w:sz w:val="28"/>
          <w:szCs w:val="28"/>
        </w:rPr>
        <w:t>. L</w:t>
      </w:r>
      <w:r w:rsidR="006D33DC" w:rsidRPr="007E2DCA">
        <w:rPr>
          <w:rFonts w:ascii="Bookman Old Style" w:hAnsi="Bookman Old Style"/>
          <w:bCs/>
          <w:spacing w:val="-4"/>
          <w:sz w:val="28"/>
          <w:szCs w:val="28"/>
          <w:lang w:val="es-ES_tradnl"/>
        </w:rPr>
        <w:t xml:space="preserve">a Sala </w:t>
      </w:r>
      <w:r w:rsidR="00046412" w:rsidRPr="007E2DCA">
        <w:rPr>
          <w:rFonts w:ascii="Bookman Old Style" w:hAnsi="Bookman Old Style"/>
          <w:bCs/>
          <w:spacing w:val="-4"/>
          <w:sz w:val="28"/>
          <w:szCs w:val="28"/>
          <w:lang w:val="es-ES_tradnl"/>
        </w:rPr>
        <w:t xml:space="preserve">concedió </w:t>
      </w:r>
      <w:r w:rsidR="00D237FF" w:rsidRPr="007E2DCA">
        <w:rPr>
          <w:rFonts w:ascii="Bookman Old Style" w:hAnsi="Bookman Old Style"/>
          <w:bCs/>
          <w:spacing w:val="-4"/>
          <w:sz w:val="28"/>
          <w:szCs w:val="28"/>
          <w:lang w:val="es-ES_tradnl"/>
        </w:rPr>
        <w:t>dicha</w:t>
      </w:r>
      <w:r w:rsidR="00F86D34" w:rsidRPr="007E2DCA">
        <w:rPr>
          <w:rFonts w:ascii="Bookman Old Style" w:hAnsi="Bookman Old Style"/>
          <w:bCs/>
          <w:spacing w:val="-4"/>
          <w:sz w:val="28"/>
          <w:szCs w:val="28"/>
          <w:lang w:val="es-ES_tradnl"/>
        </w:rPr>
        <w:t xml:space="preserve"> alzada</w:t>
      </w:r>
      <w:r w:rsidR="006D33DC" w:rsidRPr="007E2DCA">
        <w:rPr>
          <w:rFonts w:ascii="Bookman Old Style" w:hAnsi="Bookman Old Style"/>
          <w:bCs/>
          <w:spacing w:val="-4"/>
          <w:sz w:val="28"/>
          <w:szCs w:val="28"/>
          <w:lang w:val="es-ES_tradnl"/>
        </w:rPr>
        <w:t xml:space="preserve"> </w:t>
      </w:r>
      <w:r w:rsidR="00046412" w:rsidRPr="007E2DCA">
        <w:rPr>
          <w:rFonts w:ascii="Bookman Old Style" w:hAnsi="Bookman Old Style"/>
          <w:bCs/>
          <w:spacing w:val="-4"/>
          <w:sz w:val="28"/>
          <w:szCs w:val="28"/>
          <w:lang w:val="es-ES_tradnl"/>
        </w:rPr>
        <w:t>y continuó con el desarrollo del juicio.</w:t>
      </w:r>
    </w:p>
    <w:p w14:paraId="3B57C08C" w14:textId="77777777" w:rsidR="006D33DC" w:rsidRDefault="006D33DC" w:rsidP="008E5BFE">
      <w:pPr>
        <w:widowControl w:val="0"/>
        <w:spacing w:after="0" w:line="360" w:lineRule="auto"/>
        <w:ind w:firstLine="709"/>
        <w:jc w:val="both"/>
        <w:rPr>
          <w:rFonts w:ascii="Bookman Old Style" w:hAnsi="Bookman Old Style"/>
          <w:bCs/>
          <w:spacing w:val="-4"/>
          <w:sz w:val="28"/>
          <w:szCs w:val="28"/>
          <w:lang w:val="es-ES_tradnl"/>
        </w:rPr>
      </w:pPr>
    </w:p>
    <w:p w14:paraId="555A82C6" w14:textId="77777777" w:rsidR="007E2DCA" w:rsidRPr="007E2DCA" w:rsidRDefault="007E2DCA" w:rsidP="008E5BFE">
      <w:pPr>
        <w:widowControl w:val="0"/>
        <w:spacing w:after="0" w:line="360" w:lineRule="auto"/>
        <w:ind w:firstLine="709"/>
        <w:jc w:val="both"/>
        <w:rPr>
          <w:rFonts w:ascii="Bookman Old Style" w:hAnsi="Bookman Old Style"/>
          <w:bCs/>
          <w:spacing w:val="-4"/>
          <w:sz w:val="28"/>
          <w:szCs w:val="28"/>
          <w:lang w:val="es-ES_tradnl"/>
        </w:rPr>
      </w:pPr>
    </w:p>
    <w:p w14:paraId="2B7E96CB" w14:textId="563D7909" w:rsidR="001B2CE5" w:rsidRDefault="001B2CE5" w:rsidP="001D4E17">
      <w:pPr>
        <w:spacing w:after="0" w:line="360" w:lineRule="auto"/>
        <w:jc w:val="center"/>
        <w:rPr>
          <w:rFonts w:ascii="Bookman Old Style" w:hAnsi="Bookman Old Style" w:cs="Arial"/>
          <w:b/>
          <w:spacing w:val="-4"/>
          <w:sz w:val="28"/>
          <w:szCs w:val="28"/>
          <w:lang w:val="es-ES_tradnl"/>
        </w:rPr>
      </w:pPr>
      <w:r w:rsidRPr="007E2DCA">
        <w:rPr>
          <w:rFonts w:ascii="Bookman Old Style" w:hAnsi="Bookman Old Style" w:cs="Arial"/>
          <w:b/>
          <w:spacing w:val="-4"/>
          <w:sz w:val="28"/>
          <w:szCs w:val="28"/>
          <w:lang w:val="es-ES_tradnl"/>
        </w:rPr>
        <w:lastRenderedPageBreak/>
        <w:t>I</w:t>
      </w:r>
      <w:r w:rsidR="00553B93" w:rsidRPr="007E2DCA">
        <w:rPr>
          <w:rFonts w:ascii="Bookman Old Style" w:hAnsi="Bookman Old Style" w:cs="Arial"/>
          <w:b/>
          <w:spacing w:val="-4"/>
          <w:sz w:val="28"/>
          <w:szCs w:val="28"/>
          <w:lang w:val="es-ES_tradnl"/>
        </w:rPr>
        <w:t>V</w:t>
      </w:r>
      <w:r w:rsidRPr="007E2DCA">
        <w:rPr>
          <w:rFonts w:ascii="Bookman Old Style" w:hAnsi="Bookman Old Style" w:cs="Arial"/>
          <w:b/>
          <w:spacing w:val="-4"/>
          <w:sz w:val="28"/>
          <w:szCs w:val="28"/>
          <w:lang w:val="es-ES_tradnl"/>
        </w:rPr>
        <w:t>. SUSTENTACIÓN DEL RECURSO DE QUEJA</w:t>
      </w:r>
    </w:p>
    <w:p w14:paraId="21360E45" w14:textId="77777777" w:rsidR="007E2DCA" w:rsidRPr="007E2DCA" w:rsidRDefault="007E2DCA" w:rsidP="001D4E17">
      <w:pPr>
        <w:spacing w:after="0" w:line="360" w:lineRule="auto"/>
        <w:jc w:val="center"/>
        <w:rPr>
          <w:rFonts w:ascii="Bookman Old Style" w:hAnsi="Bookman Old Style" w:cs="Arial"/>
          <w:b/>
          <w:spacing w:val="-4"/>
          <w:sz w:val="28"/>
          <w:szCs w:val="28"/>
          <w:lang w:val="es-ES_tradnl"/>
        </w:rPr>
      </w:pPr>
    </w:p>
    <w:p w14:paraId="2F483E76" w14:textId="243CF3B8" w:rsidR="00B6198F" w:rsidRPr="007E2DCA" w:rsidRDefault="00B6198F" w:rsidP="001D4E17">
      <w:pPr>
        <w:spacing w:after="0" w:line="360" w:lineRule="auto"/>
        <w:ind w:firstLine="720"/>
        <w:jc w:val="both"/>
        <w:rPr>
          <w:rFonts w:ascii="Bookman Old Style" w:hAnsi="Bookman Old Style"/>
          <w:bCs/>
          <w:spacing w:val="-4"/>
          <w:sz w:val="28"/>
          <w:szCs w:val="28"/>
        </w:rPr>
      </w:pPr>
      <w:r w:rsidRPr="007E2DCA">
        <w:rPr>
          <w:rFonts w:ascii="Bookman Old Style" w:hAnsi="Bookman Old Style"/>
          <w:bCs/>
          <w:spacing w:val="-4"/>
          <w:sz w:val="28"/>
          <w:szCs w:val="28"/>
        </w:rPr>
        <w:t xml:space="preserve">1. </w:t>
      </w:r>
      <w:r w:rsidR="00070D9D" w:rsidRPr="007E2DCA">
        <w:rPr>
          <w:rFonts w:ascii="Bookman Old Style" w:hAnsi="Bookman Old Style"/>
          <w:bCs/>
          <w:spacing w:val="-4"/>
          <w:sz w:val="28"/>
          <w:szCs w:val="28"/>
        </w:rPr>
        <w:t>La Fiscalía afirmó que la decisión mediante la cual el Tribunal se abstuvo de apartar al defensor de</w:t>
      </w:r>
      <w:r w:rsidRPr="007E2DCA">
        <w:rPr>
          <w:rFonts w:ascii="Bookman Old Style" w:hAnsi="Bookman Old Style"/>
          <w:bCs/>
          <w:spacing w:val="-4"/>
          <w:sz w:val="28"/>
          <w:szCs w:val="28"/>
        </w:rPr>
        <w:t xml:space="preserve"> la procesada</w:t>
      </w:r>
      <w:r w:rsidR="00070D9D" w:rsidRPr="007E2DCA">
        <w:rPr>
          <w:rFonts w:ascii="Bookman Old Style" w:hAnsi="Bookman Old Style"/>
          <w:bCs/>
          <w:spacing w:val="-4"/>
          <w:sz w:val="28"/>
          <w:szCs w:val="28"/>
        </w:rPr>
        <w:t xml:space="preserve"> </w:t>
      </w:r>
      <w:r w:rsidRPr="007E2DCA">
        <w:rPr>
          <w:rFonts w:ascii="Bookman Old Style" w:hAnsi="Bookman Old Style"/>
          <w:bCs/>
          <w:smallCaps/>
          <w:spacing w:val="-4"/>
          <w:sz w:val="28"/>
          <w:szCs w:val="28"/>
        </w:rPr>
        <w:t>García Luna</w:t>
      </w:r>
      <w:r w:rsidR="00070D9D" w:rsidRPr="007E2DCA">
        <w:rPr>
          <w:rFonts w:ascii="Bookman Old Style" w:hAnsi="Bookman Old Style"/>
          <w:bCs/>
          <w:spacing w:val="-4"/>
          <w:sz w:val="28"/>
          <w:szCs w:val="28"/>
        </w:rPr>
        <w:t xml:space="preserve"> constituía un auto interlocutorio, pues resolvía un aspecto sustancial del proceso relacionado con la incompatibilidad de la defensa, derivada del conocimiento previo que el abogado tuvo del asunto cuando ejerció funciones como fiscal. </w:t>
      </w:r>
    </w:p>
    <w:p w14:paraId="343BCF72" w14:textId="77777777" w:rsidR="00B6198F" w:rsidRPr="007E2DCA" w:rsidRDefault="00B6198F" w:rsidP="001D4E17">
      <w:pPr>
        <w:spacing w:after="0" w:line="360" w:lineRule="auto"/>
        <w:ind w:firstLine="720"/>
        <w:jc w:val="both"/>
        <w:rPr>
          <w:rFonts w:ascii="Bookman Old Style" w:hAnsi="Bookman Old Style"/>
          <w:bCs/>
          <w:spacing w:val="-4"/>
          <w:sz w:val="28"/>
          <w:szCs w:val="28"/>
        </w:rPr>
      </w:pPr>
    </w:p>
    <w:p w14:paraId="37C789EF" w14:textId="5E66F95D" w:rsidR="004B6692" w:rsidRPr="007E2DCA" w:rsidRDefault="00070D9D" w:rsidP="001D4E17">
      <w:pPr>
        <w:spacing w:after="0" w:line="360" w:lineRule="auto"/>
        <w:ind w:firstLine="720"/>
        <w:jc w:val="both"/>
        <w:rPr>
          <w:rFonts w:ascii="Bookman Old Style" w:hAnsi="Bookman Old Style"/>
          <w:bCs/>
          <w:spacing w:val="-4"/>
          <w:sz w:val="28"/>
          <w:szCs w:val="28"/>
        </w:rPr>
      </w:pPr>
      <w:r w:rsidRPr="007E2DCA">
        <w:rPr>
          <w:rFonts w:ascii="Bookman Old Style" w:hAnsi="Bookman Old Style"/>
          <w:bCs/>
          <w:spacing w:val="-4"/>
          <w:sz w:val="28"/>
          <w:szCs w:val="28"/>
        </w:rPr>
        <w:t xml:space="preserve">Por esa razón, sostuvo que, </w:t>
      </w:r>
      <w:r w:rsidR="00B6198F" w:rsidRPr="007E2DCA">
        <w:rPr>
          <w:rFonts w:ascii="Bookman Old Style" w:hAnsi="Bookman Old Style"/>
          <w:bCs/>
          <w:spacing w:val="-4"/>
          <w:sz w:val="28"/>
          <w:szCs w:val="28"/>
        </w:rPr>
        <w:t>de acuerdo con</w:t>
      </w:r>
      <w:r w:rsidRPr="007E2DCA">
        <w:rPr>
          <w:rFonts w:ascii="Bookman Old Style" w:hAnsi="Bookman Old Style"/>
          <w:bCs/>
          <w:spacing w:val="-4"/>
          <w:sz w:val="28"/>
          <w:szCs w:val="28"/>
        </w:rPr>
        <w:t xml:space="preserve"> sus componentes fácticos y jurídicos, contra dicha determinación procedía el recurso de apelación, el cual fue indebidamente restringido por la Judicatura al conferirle el tratamiento de un auto de mero trámite y anunciar únicamente la procedencia de la reposición.</w:t>
      </w:r>
    </w:p>
    <w:p w14:paraId="39F2F0AC" w14:textId="77777777" w:rsidR="00070D9D" w:rsidRPr="007E2DCA" w:rsidRDefault="00070D9D" w:rsidP="001D4E17">
      <w:pPr>
        <w:spacing w:after="0" w:line="360" w:lineRule="auto"/>
        <w:ind w:firstLine="720"/>
        <w:jc w:val="both"/>
        <w:rPr>
          <w:rFonts w:ascii="Bookman Old Style" w:hAnsi="Bookman Old Style"/>
          <w:bCs/>
          <w:spacing w:val="-4"/>
          <w:sz w:val="28"/>
          <w:szCs w:val="28"/>
          <w:lang w:val="es-ES_tradnl"/>
        </w:rPr>
      </w:pPr>
    </w:p>
    <w:p w14:paraId="048CC4B7" w14:textId="57706985" w:rsidR="004B6692" w:rsidRPr="007E2DCA" w:rsidRDefault="00B6198F" w:rsidP="001D4E17">
      <w:pPr>
        <w:spacing w:after="0" w:line="360" w:lineRule="auto"/>
        <w:ind w:firstLine="720"/>
        <w:jc w:val="both"/>
        <w:rPr>
          <w:rFonts w:ascii="Bookman Old Style" w:hAnsi="Bookman Old Style"/>
          <w:bCs/>
          <w:spacing w:val="-4"/>
          <w:sz w:val="28"/>
          <w:szCs w:val="28"/>
          <w:lang w:val="es-ES_tradnl"/>
        </w:rPr>
      </w:pPr>
      <w:r w:rsidRPr="007E2DCA">
        <w:rPr>
          <w:rFonts w:ascii="Bookman Old Style" w:hAnsi="Bookman Old Style"/>
          <w:bCs/>
          <w:spacing w:val="-4"/>
          <w:sz w:val="28"/>
          <w:szCs w:val="28"/>
          <w:lang w:val="es-ES_tradnl"/>
        </w:rPr>
        <w:t>2</w:t>
      </w:r>
      <w:r w:rsidR="00155AF4" w:rsidRPr="007E2DCA">
        <w:rPr>
          <w:rFonts w:ascii="Bookman Old Style" w:hAnsi="Bookman Old Style"/>
          <w:bCs/>
          <w:spacing w:val="-4"/>
          <w:sz w:val="28"/>
          <w:szCs w:val="28"/>
          <w:lang w:val="es-ES_tradnl"/>
        </w:rPr>
        <w:t xml:space="preserve">. Por estos motivos, pidió a la Corte declarar procedente el recurso de queja. En consecuencia, ordenarle al </w:t>
      </w:r>
      <w:r w:rsidR="00B66584" w:rsidRPr="007E2DCA">
        <w:rPr>
          <w:rFonts w:ascii="Bookman Old Style" w:hAnsi="Bookman Old Style"/>
          <w:bCs/>
          <w:spacing w:val="-4"/>
          <w:sz w:val="28"/>
          <w:szCs w:val="28"/>
          <w:lang w:val="es-ES_tradnl"/>
        </w:rPr>
        <w:t>T</w:t>
      </w:r>
      <w:r w:rsidR="00155AF4" w:rsidRPr="007E2DCA">
        <w:rPr>
          <w:rFonts w:ascii="Bookman Old Style" w:hAnsi="Bookman Old Style"/>
          <w:bCs/>
          <w:spacing w:val="-4"/>
          <w:sz w:val="28"/>
          <w:szCs w:val="28"/>
          <w:lang w:val="es-ES_tradnl"/>
        </w:rPr>
        <w:t xml:space="preserve">ribunal </w:t>
      </w:r>
      <w:r w:rsidRPr="007E2DCA">
        <w:rPr>
          <w:rFonts w:ascii="Bookman Old Style" w:hAnsi="Bookman Old Style"/>
          <w:bCs/>
          <w:spacing w:val="-4"/>
          <w:sz w:val="28"/>
          <w:szCs w:val="28"/>
          <w:lang w:val="es-ES_tradnl"/>
        </w:rPr>
        <w:t xml:space="preserve">que </w:t>
      </w:r>
      <w:r w:rsidR="00F23F4B" w:rsidRPr="007E2DCA">
        <w:rPr>
          <w:rFonts w:ascii="Bookman Old Style" w:hAnsi="Bookman Old Style"/>
          <w:bCs/>
          <w:spacing w:val="-4"/>
          <w:sz w:val="28"/>
          <w:szCs w:val="28"/>
          <w:lang w:val="es-ES_tradnl"/>
        </w:rPr>
        <w:t>conced</w:t>
      </w:r>
      <w:r w:rsidRPr="007E2DCA">
        <w:rPr>
          <w:rFonts w:ascii="Bookman Old Style" w:hAnsi="Bookman Old Style"/>
          <w:bCs/>
          <w:spacing w:val="-4"/>
          <w:sz w:val="28"/>
          <w:szCs w:val="28"/>
          <w:lang w:val="es-ES_tradnl"/>
        </w:rPr>
        <w:t>a</w:t>
      </w:r>
      <w:r w:rsidR="00F23F4B" w:rsidRPr="007E2DCA">
        <w:rPr>
          <w:rFonts w:ascii="Bookman Old Style" w:hAnsi="Bookman Old Style"/>
          <w:bCs/>
          <w:spacing w:val="-4"/>
          <w:sz w:val="28"/>
          <w:szCs w:val="28"/>
          <w:lang w:val="es-ES_tradnl"/>
        </w:rPr>
        <w:t xml:space="preserve"> y </w:t>
      </w:r>
      <w:r w:rsidR="00487495" w:rsidRPr="007E2DCA">
        <w:rPr>
          <w:rFonts w:ascii="Bookman Old Style" w:hAnsi="Bookman Old Style"/>
          <w:bCs/>
          <w:spacing w:val="-4"/>
          <w:sz w:val="28"/>
          <w:szCs w:val="28"/>
          <w:lang w:val="es-ES_tradnl"/>
        </w:rPr>
        <w:t>trámite</w:t>
      </w:r>
      <w:r w:rsidR="00F23F4B" w:rsidRPr="007E2DCA">
        <w:rPr>
          <w:rFonts w:ascii="Bookman Old Style" w:hAnsi="Bookman Old Style"/>
          <w:bCs/>
          <w:spacing w:val="-4"/>
          <w:sz w:val="28"/>
          <w:szCs w:val="28"/>
          <w:lang w:val="es-ES_tradnl"/>
        </w:rPr>
        <w:t xml:space="preserve"> el recurso de</w:t>
      </w:r>
      <w:r w:rsidR="00155AF4" w:rsidRPr="007E2DCA">
        <w:rPr>
          <w:rFonts w:ascii="Bookman Old Style" w:hAnsi="Bookman Old Style"/>
          <w:bCs/>
          <w:spacing w:val="-4"/>
          <w:sz w:val="28"/>
          <w:szCs w:val="28"/>
          <w:lang w:val="es-ES_tradnl"/>
        </w:rPr>
        <w:t xml:space="preserve"> </w:t>
      </w:r>
      <w:r w:rsidR="00F86D34" w:rsidRPr="007E2DCA">
        <w:rPr>
          <w:rFonts w:ascii="Bookman Old Style" w:hAnsi="Bookman Old Style"/>
          <w:bCs/>
          <w:spacing w:val="-4"/>
          <w:sz w:val="28"/>
          <w:szCs w:val="28"/>
          <w:lang w:val="es-ES_tradnl"/>
        </w:rPr>
        <w:t>apelación</w:t>
      </w:r>
      <w:r w:rsidR="00155AF4" w:rsidRPr="007E2DCA">
        <w:rPr>
          <w:rFonts w:ascii="Bookman Old Style" w:hAnsi="Bookman Old Style"/>
          <w:bCs/>
          <w:spacing w:val="-4"/>
          <w:sz w:val="28"/>
          <w:szCs w:val="28"/>
          <w:lang w:val="es-ES_tradnl"/>
        </w:rPr>
        <w:t xml:space="preserve"> </w:t>
      </w:r>
      <w:r w:rsidR="00F23F4B" w:rsidRPr="007E2DCA">
        <w:rPr>
          <w:rFonts w:ascii="Bookman Old Style" w:hAnsi="Bookman Old Style"/>
          <w:bCs/>
          <w:spacing w:val="-4"/>
          <w:sz w:val="28"/>
          <w:szCs w:val="28"/>
          <w:lang w:val="es-ES_tradnl"/>
        </w:rPr>
        <w:t>ante</w:t>
      </w:r>
      <w:r w:rsidR="00155AF4" w:rsidRPr="007E2DCA">
        <w:rPr>
          <w:rFonts w:ascii="Bookman Old Style" w:hAnsi="Bookman Old Style"/>
          <w:bCs/>
          <w:spacing w:val="-4"/>
          <w:sz w:val="28"/>
          <w:szCs w:val="28"/>
          <w:lang w:val="es-ES_tradnl"/>
        </w:rPr>
        <w:t xml:space="preserve"> esta Corporación.</w:t>
      </w:r>
    </w:p>
    <w:p w14:paraId="7835F2CE" w14:textId="77777777" w:rsidR="00155AF4" w:rsidRPr="007E2DCA" w:rsidRDefault="00155AF4" w:rsidP="001D4E17">
      <w:pPr>
        <w:spacing w:after="0" w:line="360" w:lineRule="auto"/>
        <w:ind w:firstLine="720"/>
        <w:jc w:val="both"/>
        <w:rPr>
          <w:rFonts w:ascii="Bookman Old Style" w:hAnsi="Bookman Old Style"/>
          <w:bCs/>
          <w:spacing w:val="-4"/>
          <w:sz w:val="28"/>
          <w:szCs w:val="28"/>
          <w:lang w:val="es-ES_tradnl"/>
        </w:rPr>
      </w:pPr>
    </w:p>
    <w:p w14:paraId="77A8CDCD" w14:textId="22D323F6" w:rsidR="001B2CE5" w:rsidRPr="007E2DCA" w:rsidRDefault="001B2CE5" w:rsidP="001D4E17">
      <w:pPr>
        <w:spacing w:after="0" w:line="360" w:lineRule="auto"/>
        <w:jc w:val="center"/>
        <w:rPr>
          <w:rFonts w:ascii="Bookman Old Style" w:hAnsi="Bookman Old Style" w:cs="Arial"/>
          <w:b/>
          <w:spacing w:val="-4"/>
          <w:sz w:val="28"/>
          <w:szCs w:val="28"/>
          <w:lang w:val="es-ES_tradnl"/>
        </w:rPr>
      </w:pPr>
      <w:r w:rsidRPr="007E2DCA">
        <w:rPr>
          <w:rFonts w:ascii="Bookman Old Style" w:hAnsi="Bookman Old Style" w:cs="Arial"/>
          <w:b/>
          <w:spacing w:val="-4"/>
          <w:sz w:val="28"/>
          <w:szCs w:val="28"/>
          <w:lang w:val="es-ES_tradnl"/>
        </w:rPr>
        <w:t>V. CONSIDERACIONES</w:t>
      </w:r>
    </w:p>
    <w:p w14:paraId="21EC20E5" w14:textId="77777777" w:rsidR="001B2CE5" w:rsidRPr="007E2DCA" w:rsidRDefault="001B2CE5" w:rsidP="001D4E17">
      <w:pPr>
        <w:tabs>
          <w:tab w:val="left" w:pos="1134"/>
        </w:tabs>
        <w:spacing w:after="0" w:line="360" w:lineRule="auto"/>
        <w:ind w:firstLine="709"/>
        <w:jc w:val="both"/>
        <w:rPr>
          <w:rFonts w:ascii="Bookman Old Style" w:hAnsi="Bookman Old Style"/>
          <w:spacing w:val="-4"/>
          <w:sz w:val="28"/>
          <w:szCs w:val="28"/>
          <w:lang w:val="es-ES_tradnl"/>
        </w:rPr>
      </w:pPr>
    </w:p>
    <w:p w14:paraId="7AB6A88F" w14:textId="5906C08A" w:rsidR="001B2CE5" w:rsidRPr="007E2DCA" w:rsidRDefault="001B2CE5" w:rsidP="7864A2E1">
      <w:pPr>
        <w:spacing w:after="0" w:line="360" w:lineRule="auto"/>
        <w:ind w:firstLine="708"/>
        <w:jc w:val="both"/>
        <w:rPr>
          <w:rFonts w:ascii="Bookman Old Style" w:eastAsia="Times New Roman" w:hAnsi="Bookman Old Style" w:cs="Times New Roman"/>
          <w:spacing w:val="-4"/>
          <w:sz w:val="28"/>
          <w:szCs w:val="28"/>
          <w:lang w:val="es-ES"/>
        </w:rPr>
      </w:pPr>
      <w:r w:rsidRPr="007E2DCA">
        <w:rPr>
          <w:rStyle w:val="normaltextrun"/>
          <w:rFonts w:ascii="Bookman Old Style" w:hAnsi="Bookman Old Style" w:cs="Segoe UI"/>
          <w:spacing w:val="-4"/>
          <w:sz w:val="28"/>
          <w:szCs w:val="28"/>
          <w:lang w:val="es-ES"/>
        </w:rPr>
        <w:t xml:space="preserve">1. </w:t>
      </w:r>
      <w:r w:rsidRPr="007E2DCA">
        <w:rPr>
          <w:rStyle w:val="normaltextrun"/>
          <w:rFonts w:ascii="Bookman Old Style" w:hAnsi="Bookman Old Style" w:cs="Segoe UI"/>
          <w:b/>
          <w:bCs/>
          <w:spacing w:val="-4"/>
          <w:sz w:val="28"/>
          <w:szCs w:val="28"/>
          <w:lang w:val="es-ES"/>
        </w:rPr>
        <w:t>Competencia</w:t>
      </w:r>
      <w:r w:rsidRPr="007E2DCA">
        <w:rPr>
          <w:rStyle w:val="normaltextrun"/>
          <w:rFonts w:ascii="Bookman Old Style" w:hAnsi="Bookman Old Style" w:cs="Segoe UI"/>
          <w:spacing w:val="-4"/>
          <w:sz w:val="28"/>
          <w:szCs w:val="28"/>
          <w:lang w:val="es-ES"/>
        </w:rPr>
        <w:t xml:space="preserve">. De acuerdo con el artículo 179C de la Ley 906 de 2004, la Sala es competente para resolver el recurso de queja, </w:t>
      </w:r>
      <w:r w:rsidR="3D5CC352" w:rsidRPr="007E2DCA">
        <w:rPr>
          <w:rFonts w:ascii="Bookman Old Style" w:eastAsia="Times New Roman" w:hAnsi="Bookman Old Style" w:cs="Times New Roman"/>
          <w:spacing w:val="-4"/>
          <w:sz w:val="28"/>
          <w:szCs w:val="28"/>
          <w:lang w:val="es-ES"/>
        </w:rPr>
        <w:t>debido a</w:t>
      </w:r>
      <w:r w:rsidRPr="007E2DCA">
        <w:rPr>
          <w:rFonts w:ascii="Bookman Old Style" w:eastAsia="Times New Roman" w:hAnsi="Bookman Old Style" w:cs="Times New Roman"/>
          <w:spacing w:val="-4"/>
          <w:sz w:val="28"/>
          <w:szCs w:val="28"/>
          <w:lang w:val="es-ES"/>
        </w:rPr>
        <w:t xml:space="preserve"> que la decisión impugnada fue proferida por la Sala Penal del Tribunal Superior de </w:t>
      </w:r>
      <w:r w:rsidR="0082398B" w:rsidRPr="007E2DCA">
        <w:rPr>
          <w:rFonts w:ascii="Bookman Old Style" w:eastAsia="Times New Roman" w:hAnsi="Bookman Old Style" w:cs="Times New Roman"/>
          <w:spacing w:val="-4"/>
          <w:sz w:val="28"/>
          <w:szCs w:val="28"/>
          <w:lang w:val="es-ES"/>
        </w:rPr>
        <w:t>Villavicencio</w:t>
      </w:r>
      <w:r w:rsidRPr="007E2DCA">
        <w:rPr>
          <w:rFonts w:ascii="Bookman Old Style" w:eastAsia="Times New Roman" w:hAnsi="Bookman Old Style" w:cs="Times New Roman"/>
          <w:spacing w:val="-4"/>
          <w:sz w:val="28"/>
          <w:szCs w:val="28"/>
          <w:lang w:val="es-ES"/>
        </w:rPr>
        <w:t>.</w:t>
      </w:r>
    </w:p>
    <w:p w14:paraId="4C6D7F11" w14:textId="77777777" w:rsidR="001B2CE5" w:rsidRPr="007E2DCA" w:rsidRDefault="001B2CE5" w:rsidP="001D4E17">
      <w:pPr>
        <w:pStyle w:val="paragraph"/>
        <w:spacing w:before="0" w:beforeAutospacing="0" w:after="0" w:afterAutospacing="0" w:line="360" w:lineRule="auto"/>
        <w:ind w:firstLine="705"/>
        <w:jc w:val="both"/>
        <w:textAlignment w:val="baseline"/>
        <w:rPr>
          <w:rStyle w:val="normaltextrun"/>
          <w:rFonts w:ascii="Bookman Old Style" w:eastAsiaTheme="majorEastAsia" w:hAnsi="Bookman Old Style" w:cs="Segoe UI"/>
          <w:spacing w:val="-4"/>
          <w:sz w:val="28"/>
          <w:szCs w:val="28"/>
          <w:lang w:val="es-ES_tradnl"/>
        </w:rPr>
      </w:pPr>
    </w:p>
    <w:p w14:paraId="1FB0989A" w14:textId="670F847A" w:rsidR="001B2CE5" w:rsidRPr="007E2DCA" w:rsidRDefault="001B2CE5" w:rsidP="001D4E17">
      <w:pPr>
        <w:spacing w:after="0" w:line="360" w:lineRule="auto"/>
        <w:ind w:firstLine="708"/>
        <w:jc w:val="both"/>
        <w:rPr>
          <w:rFonts w:ascii="Bookman Old Style" w:hAnsi="Bookman Old Style"/>
          <w:spacing w:val="-4"/>
          <w:sz w:val="28"/>
          <w:szCs w:val="28"/>
          <w:lang w:val="es-ES_tradnl"/>
        </w:rPr>
      </w:pPr>
      <w:r w:rsidRPr="007E2DCA">
        <w:rPr>
          <w:rFonts w:ascii="Bookman Old Style" w:hAnsi="Bookman Old Style"/>
          <w:spacing w:val="-4"/>
          <w:sz w:val="28"/>
          <w:szCs w:val="28"/>
          <w:lang w:val="es-ES_tradnl"/>
        </w:rPr>
        <w:lastRenderedPageBreak/>
        <w:t xml:space="preserve">2. </w:t>
      </w:r>
      <w:r w:rsidRPr="007E2DCA">
        <w:rPr>
          <w:rFonts w:ascii="Bookman Old Style" w:hAnsi="Bookman Old Style"/>
          <w:b/>
          <w:bCs/>
          <w:spacing w:val="-4"/>
          <w:sz w:val="28"/>
          <w:szCs w:val="28"/>
          <w:lang w:val="es-ES_tradnl"/>
        </w:rPr>
        <w:t xml:space="preserve">Del recurso de queja. </w:t>
      </w:r>
      <w:r w:rsidRPr="007E2DCA">
        <w:rPr>
          <w:rFonts w:ascii="Bookman Old Style" w:hAnsi="Bookman Old Style"/>
          <w:spacing w:val="-4"/>
          <w:sz w:val="28"/>
          <w:szCs w:val="28"/>
          <w:lang w:val="es-ES_tradnl"/>
        </w:rPr>
        <w:t xml:space="preserve">El artículo 179B </w:t>
      </w:r>
      <w:r w:rsidR="00B6198F" w:rsidRPr="007E2DCA">
        <w:rPr>
          <w:rFonts w:ascii="Bookman Old Style" w:hAnsi="Bookman Old Style"/>
          <w:i/>
          <w:iCs/>
          <w:spacing w:val="-4"/>
          <w:sz w:val="28"/>
          <w:szCs w:val="28"/>
          <w:lang w:val="es-ES_tradnl"/>
        </w:rPr>
        <w:t>ibidem</w:t>
      </w:r>
      <w:r w:rsidRPr="007E2DCA">
        <w:rPr>
          <w:rFonts w:ascii="Bookman Old Style" w:hAnsi="Bookman Old Style"/>
          <w:spacing w:val="-4"/>
          <w:sz w:val="28"/>
          <w:szCs w:val="28"/>
          <w:lang w:val="es-ES_tradnl"/>
        </w:rPr>
        <w:t xml:space="preserve"> establece que el recurso de queja procede cuando el funcionario de primera instancia deniega el de apelación. Su propósito es proteger la garantía de la doble instancia, por lo que no está orientado a estudiar el acierto de la decisión recurrida, sino a determinar si es correcta la denegación del recurso de apelación</w:t>
      </w:r>
      <w:r w:rsidRPr="007E2DCA">
        <w:rPr>
          <w:rStyle w:val="Refdenotaalpie"/>
          <w:rFonts w:ascii="Bookman Old Style" w:hAnsi="Bookman Old Style"/>
          <w:spacing w:val="-4"/>
          <w:sz w:val="28"/>
          <w:szCs w:val="28"/>
          <w:lang w:val="es-ES_tradnl"/>
        </w:rPr>
        <w:footnoteReference w:id="1"/>
      </w:r>
      <w:r w:rsidRPr="007E2DCA">
        <w:rPr>
          <w:rFonts w:ascii="Bookman Old Style" w:hAnsi="Bookman Old Style"/>
          <w:spacing w:val="-4"/>
          <w:sz w:val="28"/>
          <w:szCs w:val="28"/>
          <w:lang w:val="es-ES_tradnl"/>
        </w:rPr>
        <w:t>.</w:t>
      </w:r>
    </w:p>
    <w:p w14:paraId="54DB1539" w14:textId="77777777" w:rsidR="001B2CE5" w:rsidRPr="007E2DCA" w:rsidRDefault="001B2CE5" w:rsidP="001D4E17">
      <w:pPr>
        <w:spacing w:after="0" w:line="360" w:lineRule="auto"/>
        <w:ind w:firstLine="708"/>
        <w:jc w:val="both"/>
        <w:rPr>
          <w:rFonts w:ascii="Bookman Old Style" w:hAnsi="Bookman Old Style"/>
          <w:spacing w:val="-4"/>
          <w:sz w:val="28"/>
          <w:szCs w:val="28"/>
          <w:lang w:val="es-ES_tradnl"/>
        </w:rPr>
      </w:pPr>
    </w:p>
    <w:p w14:paraId="13DBCB0B" w14:textId="77777777" w:rsidR="00487495" w:rsidRPr="007E2DCA" w:rsidRDefault="001B2CE5">
      <w:pPr>
        <w:spacing w:after="0" w:line="360" w:lineRule="auto"/>
        <w:ind w:firstLine="708"/>
        <w:jc w:val="both"/>
        <w:rPr>
          <w:rFonts w:ascii="Bookman Old Style" w:hAnsi="Bookman Old Style"/>
          <w:spacing w:val="-4"/>
          <w:sz w:val="28"/>
          <w:szCs w:val="28"/>
          <w:lang w:val="es-ES"/>
        </w:rPr>
      </w:pPr>
      <w:r w:rsidRPr="007E2DCA">
        <w:rPr>
          <w:rFonts w:ascii="Bookman Old Style" w:hAnsi="Bookman Old Style"/>
          <w:spacing w:val="-4"/>
          <w:sz w:val="28"/>
          <w:szCs w:val="28"/>
          <w:lang w:val="es-ES"/>
        </w:rPr>
        <w:t>Así, su viabilidad depende del cumplimiento de varios presupuestos</w:t>
      </w:r>
      <w:r w:rsidR="00EB2D84" w:rsidRPr="007E2DCA">
        <w:rPr>
          <w:rFonts w:ascii="Bookman Old Style" w:hAnsi="Bookman Old Style"/>
          <w:spacing w:val="-4"/>
          <w:sz w:val="28"/>
          <w:szCs w:val="28"/>
          <w:lang w:val="es-ES"/>
        </w:rPr>
        <w:t>:</w:t>
      </w:r>
      <w:r w:rsidRPr="007E2DCA">
        <w:rPr>
          <w:rFonts w:ascii="Bookman Old Style" w:hAnsi="Bookman Old Style"/>
          <w:spacing w:val="-4"/>
          <w:sz w:val="28"/>
          <w:szCs w:val="28"/>
          <w:lang w:val="es-ES"/>
        </w:rPr>
        <w:t xml:space="preserve"> </w:t>
      </w:r>
      <w:r w:rsidR="00EB2D84" w:rsidRPr="007E2DCA">
        <w:rPr>
          <w:rFonts w:ascii="Bookman Old Style" w:hAnsi="Bookman Old Style"/>
          <w:spacing w:val="-4"/>
          <w:sz w:val="28"/>
          <w:szCs w:val="28"/>
          <w:lang w:val="es-ES"/>
        </w:rPr>
        <w:t>i</w:t>
      </w:r>
      <w:r w:rsidRPr="007E2DCA">
        <w:rPr>
          <w:rFonts w:ascii="Bookman Old Style" w:hAnsi="Bookman Old Style"/>
          <w:spacing w:val="-4"/>
          <w:sz w:val="28"/>
          <w:szCs w:val="28"/>
          <w:lang w:val="es-ES"/>
        </w:rPr>
        <w:t>) que la decisión sea susceptible de apelación</w:t>
      </w:r>
      <w:r w:rsidR="00EB2D84" w:rsidRPr="007E2DCA">
        <w:rPr>
          <w:rFonts w:ascii="Bookman Old Style" w:hAnsi="Bookman Old Style"/>
          <w:spacing w:val="-4"/>
          <w:sz w:val="28"/>
          <w:szCs w:val="28"/>
          <w:lang w:val="es-ES"/>
        </w:rPr>
        <w:t>;</w:t>
      </w:r>
      <w:r w:rsidRPr="007E2DCA">
        <w:rPr>
          <w:rFonts w:ascii="Bookman Old Style" w:hAnsi="Bookman Old Style"/>
          <w:spacing w:val="-4"/>
          <w:sz w:val="28"/>
          <w:szCs w:val="28"/>
          <w:lang w:val="es-ES"/>
        </w:rPr>
        <w:t xml:space="preserve"> </w:t>
      </w:r>
      <w:proofErr w:type="spellStart"/>
      <w:r w:rsidR="00EB2D84" w:rsidRPr="007E2DCA">
        <w:rPr>
          <w:rFonts w:ascii="Bookman Old Style" w:hAnsi="Bookman Old Style"/>
          <w:spacing w:val="-4"/>
          <w:sz w:val="28"/>
          <w:szCs w:val="28"/>
          <w:lang w:val="es-ES"/>
        </w:rPr>
        <w:t>ii</w:t>
      </w:r>
      <w:proofErr w:type="spellEnd"/>
      <w:r w:rsidRPr="007E2DCA">
        <w:rPr>
          <w:rFonts w:ascii="Bookman Old Style" w:hAnsi="Bookman Old Style"/>
          <w:spacing w:val="-4"/>
          <w:sz w:val="28"/>
          <w:szCs w:val="28"/>
          <w:lang w:val="es-ES"/>
        </w:rPr>
        <w:t>) que el recurso se proponga antes del vencimiento de los términos legalmente destinados para ello</w:t>
      </w:r>
      <w:r w:rsidR="00EB2D84" w:rsidRPr="007E2DCA">
        <w:rPr>
          <w:rFonts w:ascii="Bookman Old Style" w:hAnsi="Bookman Old Style"/>
          <w:spacing w:val="-4"/>
          <w:sz w:val="28"/>
          <w:szCs w:val="28"/>
          <w:lang w:val="es-ES"/>
        </w:rPr>
        <w:t xml:space="preserve">; </w:t>
      </w:r>
      <w:proofErr w:type="spellStart"/>
      <w:r w:rsidR="00EB2D84" w:rsidRPr="007E2DCA">
        <w:rPr>
          <w:rFonts w:ascii="Bookman Old Style" w:hAnsi="Bookman Old Style"/>
          <w:spacing w:val="-4"/>
          <w:sz w:val="28"/>
          <w:szCs w:val="28"/>
          <w:lang w:val="es-ES"/>
        </w:rPr>
        <w:t>iii</w:t>
      </w:r>
      <w:proofErr w:type="spellEnd"/>
      <w:r w:rsidRPr="007E2DCA">
        <w:rPr>
          <w:rFonts w:ascii="Bookman Old Style" w:hAnsi="Bookman Old Style"/>
          <w:spacing w:val="-4"/>
          <w:sz w:val="28"/>
          <w:szCs w:val="28"/>
          <w:lang w:val="es-ES"/>
        </w:rPr>
        <w:t>) que al recurrente le asista interés</w:t>
      </w:r>
      <w:r w:rsidR="00C00673" w:rsidRPr="007E2DCA">
        <w:rPr>
          <w:rFonts w:ascii="Bookman Old Style" w:hAnsi="Bookman Old Style"/>
          <w:spacing w:val="-4"/>
          <w:sz w:val="28"/>
          <w:szCs w:val="28"/>
          <w:lang w:val="es-ES"/>
        </w:rPr>
        <w:t>;</w:t>
      </w:r>
      <w:r w:rsidRPr="007E2DCA">
        <w:rPr>
          <w:rFonts w:ascii="Bookman Old Style" w:hAnsi="Bookman Old Style"/>
          <w:spacing w:val="-4"/>
          <w:sz w:val="28"/>
          <w:szCs w:val="28"/>
          <w:lang w:val="es-ES"/>
        </w:rPr>
        <w:t xml:space="preserve"> y</w:t>
      </w:r>
      <w:r w:rsidR="00C00673" w:rsidRPr="007E2DCA">
        <w:rPr>
          <w:rFonts w:ascii="Bookman Old Style" w:hAnsi="Bookman Old Style"/>
          <w:spacing w:val="-4"/>
          <w:sz w:val="28"/>
          <w:szCs w:val="28"/>
          <w:lang w:val="es-ES"/>
        </w:rPr>
        <w:t>,</w:t>
      </w:r>
      <w:r w:rsidRPr="007E2DCA">
        <w:rPr>
          <w:rFonts w:ascii="Bookman Old Style" w:hAnsi="Bookman Old Style"/>
          <w:spacing w:val="-4"/>
          <w:sz w:val="28"/>
          <w:szCs w:val="28"/>
          <w:lang w:val="es-ES"/>
        </w:rPr>
        <w:t xml:space="preserve"> </w:t>
      </w:r>
      <w:proofErr w:type="spellStart"/>
      <w:r w:rsidR="00EB2D84" w:rsidRPr="007E2DCA">
        <w:rPr>
          <w:rFonts w:ascii="Bookman Old Style" w:hAnsi="Bookman Old Style"/>
          <w:spacing w:val="-4"/>
          <w:sz w:val="28"/>
          <w:szCs w:val="28"/>
          <w:lang w:val="es-ES"/>
        </w:rPr>
        <w:t>iv</w:t>
      </w:r>
      <w:proofErr w:type="spellEnd"/>
      <w:r w:rsidRPr="007E2DCA">
        <w:rPr>
          <w:rFonts w:ascii="Bookman Old Style" w:hAnsi="Bookman Old Style"/>
          <w:spacing w:val="-4"/>
          <w:sz w:val="28"/>
          <w:szCs w:val="28"/>
          <w:lang w:val="es-ES"/>
        </w:rPr>
        <w:t>) que la inconformidad esté sustentada</w:t>
      </w:r>
      <w:r w:rsidRPr="007E2DCA">
        <w:rPr>
          <w:rStyle w:val="Refdenotaalpie"/>
          <w:rFonts w:ascii="Bookman Old Style" w:hAnsi="Bookman Old Style"/>
          <w:spacing w:val="-4"/>
          <w:sz w:val="28"/>
          <w:szCs w:val="28"/>
          <w:lang w:val="es-ES"/>
        </w:rPr>
        <w:footnoteReference w:id="2"/>
      </w:r>
      <w:r w:rsidRPr="007E2DCA">
        <w:rPr>
          <w:rFonts w:ascii="Bookman Old Style" w:hAnsi="Bookman Old Style"/>
          <w:spacing w:val="-4"/>
          <w:sz w:val="28"/>
          <w:szCs w:val="28"/>
          <w:lang w:val="es-ES"/>
        </w:rPr>
        <w:t>.</w:t>
      </w:r>
    </w:p>
    <w:p w14:paraId="08BAEF31" w14:textId="77777777" w:rsidR="00487495" w:rsidRPr="007E2DCA" w:rsidRDefault="00487495">
      <w:pPr>
        <w:spacing w:after="0" w:line="360" w:lineRule="auto"/>
        <w:ind w:firstLine="708"/>
        <w:jc w:val="both"/>
        <w:rPr>
          <w:rFonts w:ascii="Bookman Old Style" w:hAnsi="Bookman Old Style"/>
          <w:spacing w:val="-4"/>
          <w:sz w:val="28"/>
          <w:szCs w:val="28"/>
          <w:lang w:val="es-ES"/>
        </w:rPr>
      </w:pPr>
    </w:p>
    <w:p w14:paraId="3DAC6571" w14:textId="0F3F415B" w:rsidR="0076684A" w:rsidRPr="007E2DCA" w:rsidRDefault="0076684A" w:rsidP="00487495">
      <w:pPr>
        <w:spacing w:after="0" w:line="360" w:lineRule="auto"/>
        <w:ind w:firstLine="708"/>
        <w:jc w:val="both"/>
        <w:rPr>
          <w:rFonts w:ascii="Bookman Old Style" w:hAnsi="Bookman Old Style"/>
          <w:spacing w:val="-4"/>
          <w:sz w:val="28"/>
          <w:szCs w:val="28"/>
        </w:rPr>
      </w:pPr>
      <w:r w:rsidRPr="007E2DCA">
        <w:rPr>
          <w:rFonts w:ascii="Bookman Old Style" w:hAnsi="Bookman Old Style"/>
          <w:spacing w:val="-4"/>
          <w:sz w:val="28"/>
          <w:szCs w:val="28"/>
        </w:rPr>
        <w:t xml:space="preserve">3. </w:t>
      </w:r>
      <w:r w:rsidRPr="007E2DCA">
        <w:rPr>
          <w:rFonts w:ascii="Bookman Old Style" w:hAnsi="Bookman Old Style"/>
          <w:b/>
          <w:bCs/>
          <w:spacing w:val="-4"/>
          <w:sz w:val="28"/>
          <w:szCs w:val="28"/>
        </w:rPr>
        <w:t>La procedencia del recurso de apelación</w:t>
      </w:r>
      <w:r w:rsidRPr="007E2DCA">
        <w:rPr>
          <w:rFonts w:ascii="Bookman Old Style" w:hAnsi="Bookman Old Style"/>
          <w:spacing w:val="-4"/>
          <w:sz w:val="28"/>
          <w:szCs w:val="28"/>
        </w:rPr>
        <w:t>. El artículo 176 del CPP establece que el recurso de apelación procede, salvo en los casos previstos en esa norma, contra los autos adoptados durante el desarrollo de las audiencias y contra la sentencia condenatoria o absolutoria. En consecuencia, la procedencia del recurso de apelación está condicionada a la índole de la decisión adoptada por el juzgado: si se trata de una sentencia o de un auto, el recurso procederá, pero si se está frente a una orden, entendida por tal la que define asuntos de simple trámite vinculados con el curso de la actuación, el recurso será improcedente.</w:t>
      </w:r>
    </w:p>
    <w:p w14:paraId="2BF832DB" w14:textId="77777777" w:rsidR="001B2CE5" w:rsidRPr="007E2DCA" w:rsidRDefault="001B2CE5" w:rsidP="0076684A">
      <w:pPr>
        <w:pStyle w:val="Textoindependiente"/>
        <w:spacing w:after="0" w:line="360" w:lineRule="auto"/>
        <w:ind w:firstLine="708"/>
        <w:jc w:val="both"/>
        <w:rPr>
          <w:rStyle w:val="normaltextrun"/>
          <w:rFonts w:ascii="Bookman Old Style" w:hAnsi="Bookman Old Style" w:cs="Segoe UI"/>
          <w:spacing w:val="-4"/>
          <w:sz w:val="28"/>
          <w:szCs w:val="28"/>
          <w:lang w:val="es-ES_tradnl"/>
        </w:rPr>
      </w:pPr>
    </w:p>
    <w:p w14:paraId="265F3184" w14:textId="174A5652" w:rsidR="00164E25" w:rsidRPr="007E2DCA" w:rsidRDefault="009459A0" w:rsidP="20A6394F">
      <w:pPr>
        <w:spacing w:after="0" w:line="360" w:lineRule="auto"/>
        <w:ind w:firstLine="708"/>
        <w:jc w:val="both"/>
        <w:rPr>
          <w:rFonts w:ascii="Bookman Old Style" w:hAnsi="Bookman Old Style"/>
          <w:spacing w:val="-4"/>
          <w:sz w:val="28"/>
          <w:szCs w:val="28"/>
          <w:lang w:val="es-ES"/>
        </w:rPr>
      </w:pPr>
      <w:r w:rsidRPr="007E2DCA">
        <w:rPr>
          <w:rFonts w:ascii="Bookman Old Style" w:eastAsia="Times New Roman" w:hAnsi="Bookman Old Style" w:cs="Times New Roman"/>
          <w:spacing w:val="-4"/>
          <w:sz w:val="28"/>
          <w:szCs w:val="28"/>
          <w:lang w:val="es-ES"/>
        </w:rPr>
        <w:t>4</w:t>
      </w:r>
      <w:r w:rsidR="00F872EC" w:rsidRPr="007E2DCA">
        <w:rPr>
          <w:rFonts w:ascii="Bookman Old Style" w:eastAsia="Times New Roman" w:hAnsi="Bookman Old Style" w:cs="Times New Roman"/>
          <w:spacing w:val="-4"/>
          <w:sz w:val="28"/>
          <w:szCs w:val="28"/>
          <w:lang w:val="es-ES"/>
        </w:rPr>
        <w:t xml:space="preserve">. </w:t>
      </w:r>
      <w:r w:rsidR="001B2CE5" w:rsidRPr="007E2DCA">
        <w:rPr>
          <w:rFonts w:ascii="Bookman Old Style" w:eastAsia="Times New Roman" w:hAnsi="Bookman Old Style" w:cs="Times New Roman"/>
          <w:b/>
          <w:bCs/>
          <w:spacing w:val="-4"/>
          <w:sz w:val="28"/>
          <w:szCs w:val="28"/>
          <w:lang w:val="es-ES"/>
        </w:rPr>
        <w:t>Caso concreto</w:t>
      </w:r>
      <w:r w:rsidR="001B2CE5" w:rsidRPr="007E2DCA">
        <w:rPr>
          <w:rFonts w:ascii="Bookman Old Style" w:eastAsia="Times New Roman" w:hAnsi="Bookman Old Style" w:cs="Times New Roman"/>
          <w:spacing w:val="-4"/>
          <w:sz w:val="28"/>
          <w:szCs w:val="28"/>
          <w:lang w:val="es-ES"/>
        </w:rPr>
        <w:t xml:space="preserve">. </w:t>
      </w:r>
      <w:r w:rsidR="008F7753" w:rsidRPr="007E2DCA">
        <w:rPr>
          <w:rFonts w:ascii="Bookman Old Style" w:eastAsia="Times New Roman" w:hAnsi="Bookman Old Style" w:cs="Times New Roman"/>
          <w:spacing w:val="-4"/>
          <w:sz w:val="28"/>
          <w:szCs w:val="28"/>
          <w:lang w:val="es-ES"/>
        </w:rPr>
        <w:t>La Fiscalía</w:t>
      </w:r>
      <w:r w:rsidR="00010415" w:rsidRPr="007E2DCA">
        <w:rPr>
          <w:rFonts w:ascii="Bookman Old Style" w:eastAsia="Times New Roman" w:hAnsi="Bookman Old Style" w:cs="Times New Roman"/>
          <w:spacing w:val="-4"/>
          <w:sz w:val="28"/>
          <w:szCs w:val="28"/>
          <w:lang w:val="es-ES"/>
        </w:rPr>
        <w:t xml:space="preserve"> </w:t>
      </w:r>
      <w:r w:rsidR="00152A82" w:rsidRPr="007E2DCA">
        <w:rPr>
          <w:rFonts w:ascii="Bookman Old Style" w:eastAsia="Times New Roman" w:hAnsi="Bookman Old Style" w:cs="Times New Roman"/>
          <w:spacing w:val="-4"/>
          <w:sz w:val="28"/>
          <w:szCs w:val="28"/>
          <w:lang w:val="es-ES"/>
        </w:rPr>
        <w:t xml:space="preserve">reclama la concesión del recurso de apelación contra la decisión adoptada el 14 de abril </w:t>
      </w:r>
      <w:r w:rsidR="00152A82" w:rsidRPr="007E2DCA">
        <w:rPr>
          <w:rFonts w:ascii="Bookman Old Style" w:eastAsia="Times New Roman" w:hAnsi="Bookman Old Style" w:cs="Times New Roman"/>
          <w:spacing w:val="-4"/>
          <w:sz w:val="28"/>
          <w:szCs w:val="28"/>
          <w:lang w:val="es-ES"/>
        </w:rPr>
        <w:lastRenderedPageBreak/>
        <w:t xml:space="preserve">de </w:t>
      </w:r>
      <w:r w:rsidR="0055196D" w:rsidRPr="007E2DCA">
        <w:rPr>
          <w:rFonts w:ascii="Bookman Old Style" w:eastAsia="Times New Roman" w:hAnsi="Bookman Old Style" w:cs="Times New Roman"/>
          <w:spacing w:val="-4"/>
          <w:sz w:val="28"/>
          <w:szCs w:val="28"/>
          <w:lang w:val="es-ES"/>
        </w:rPr>
        <w:t>2026 por</w:t>
      </w:r>
      <w:r w:rsidR="00152A82" w:rsidRPr="007E2DCA">
        <w:rPr>
          <w:rFonts w:ascii="Bookman Old Style" w:eastAsia="Times New Roman" w:hAnsi="Bookman Old Style" w:cs="Times New Roman"/>
          <w:spacing w:val="-4"/>
          <w:sz w:val="28"/>
          <w:szCs w:val="28"/>
          <w:lang w:val="es-ES"/>
        </w:rPr>
        <w:t xml:space="preserve"> el</w:t>
      </w:r>
      <w:r w:rsidR="00010415" w:rsidRPr="007E2DCA">
        <w:rPr>
          <w:rFonts w:ascii="Bookman Old Style" w:hAnsi="Bookman Old Style"/>
          <w:spacing w:val="-4"/>
          <w:sz w:val="28"/>
          <w:szCs w:val="28"/>
          <w:lang w:val="es-ES"/>
        </w:rPr>
        <w:t xml:space="preserve"> Tribunal</w:t>
      </w:r>
      <w:r w:rsidR="00152A82" w:rsidRPr="007E2DCA">
        <w:rPr>
          <w:rFonts w:ascii="Bookman Old Style" w:hAnsi="Bookman Old Style"/>
          <w:spacing w:val="-4"/>
          <w:sz w:val="28"/>
          <w:szCs w:val="28"/>
          <w:lang w:val="es-ES"/>
        </w:rPr>
        <w:t xml:space="preserve"> Superior de Villavicencio. Mediante esta, </w:t>
      </w:r>
      <w:r w:rsidR="008F7753" w:rsidRPr="007E2DCA">
        <w:rPr>
          <w:rFonts w:ascii="Bookman Old Style" w:hAnsi="Bookman Old Style"/>
          <w:spacing w:val="-4"/>
          <w:sz w:val="28"/>
          <w:szCs w:val="28"/>
          <w:lang w:val="es-ES"/>
        </w:rPr>
        <w:t xml:space="preserve">negó </w:t>
      </w:r>
      <w:r w:rsidR="00152A82" w:rsidRPr="007E2DCA">
        <w:rPr>
          <w:rFonts w:ascii="Bookman Old Style" w:hAnsi="Bookman Old Style"/>
          <w:spacing w:val="-4"/>
          <w:sz w:val="28"/>
          <w:szCs w:val="28"/>
          <w:lang w:val="es-ES"/>
        </w:rPr>
        <w:t>la solicitud de apartar d</w:t>
      </w:r>
      <w:r w:rsidR="14AADB43" w:rsidRPr="007E2DCA">
        <w:rPr>
          <w:rFonts w:ascii="Bookman Old Style" w:hAnsi="Bookman Old Style"/>
          <w:spacing w:val="-4"/>
          <w:sz w:val="28"/>
          <w:szCs w:val="28"/>
          <w:lang w:val="es-ES"/>
        </w:rPr>
        <w:t xml:space="preserve">el proceso </w:t>
      </w:r>
      <w:r w:rsidR="008F7753" w:rsidRPr="007E2DCA">
        <w:rPr>
          <w:rFonts w:ascii="Bookman Old Style" w:hAnsi="Bookman Old Style"/>
          <w:spacing w:val="-4"/>
          <w:sz w:val="28"/>
          <w:szCs w:val="28"/>
          <w:lang w:val="es-ES"/>
        </w:rPr>
        <w:t xml:space="preserve">al defensor de confianza de </w:t>
      </w:r>
      <w:r w:rsidR="008F7753" w:rsidRPr="007E2DCA">
        <w:rPr>
          <w:rFonts w:ascii="Bookman Old Style" w:hAnsi="Bookman Old Style" w:cs="Arial"/>
          <w:smallCaps/>
          <w:spacing w:val="-4"/>
          <w:sz w:val="28"/>
          <w:szCs w:val="28"/>
          <w:lang w:val="es-ES"/>
        </w:rPr>
        <w:t>Claudia Melissa García Luna</w:t>
      </w:r>
      <w:r w:rsidR="00B0186D" w:rsidRPr="007E2DCA">
        <w:rPr>
          <w:rFonts w:ascii="Bookman Old Style" w:hAnsi="Bookman Old Style" w:cs="Arial"/>
          <w:smallCaps/>
          <w:spacing w:val="-4"/>
          <w:sz w:val="28"/>
          <w:szCs w:val="28"/>
          <w:lang w:val="es-ES"/>
        </w:rPr>
        <w:t xml:space="preserve">, </w:t>
      </w:r>
      <w:r w:rsidR="00B0186D" w:rsidRPr="007E2DCA">
        <w:rPr>
          <w:rFonts w:ascii="Bookman Old Style" w:hAnsi="Bookman Old Style"/>
          <w:spacing w:val="-4"/>
          <w:sz w:val="28"/>
          <w:szCs w:val="28"/>
          <w:lang w:val="es-ES"/>
        </w:rPr>
        <w:t>tras advertir la inexistencia de una supuesta incompatibilidad</w:t>
      </w:r>
      <w:r w:rsidR="008F7753" w:rsidRPr="007E2DCA">
        <w:rPr>
          <w:rFonts w:ascii="Bookman Old Style" w:hAnsi="Bookman Old Style"/>
          <w:spacing w:val="-4"/>
          <w:sz w:val="28"/>
          <w:szCs w:val="28"/>
          <w:lang w:val="es-ES"/>
        </w:rPr>
        <w:t>.</w:t>
      </w:r>
    </w:p>
    <w:p w14:paraId="276FEC8B" w14:textId="77777777" w:rsidR="00152A82" w:rsidRPr="007E2DCA" w:rsidRDefault="00152A82" w:rsidP="20A6394F">
      <w:pPr>
        <w:spacing w:after="0" w:line="360" w:lineRule="auto"/>
        <w:ind w:firstLine="708"/>
        <w:jc w:val="both"/>
        <w:rPr>
          <w:rFonts w:ascii="Bookman Old Style" w:hAnsi="Bookman Old Style"/>
          <w:spacing w:val="-4"/>
          <w:sz w:val="28"/>
          <w:szCs w:val="28"/>
          <w:lang w:val="es-ES"/>
        </w:rPr>
      </w:pPr>
    </w:p>
    <w:p w14:paraId="75AE94B8" w14:textId="5283EFA1" w:rsidR="00010415" w:rsidRPr="007E2DCA" w:rsidRDefault="00F95628" w:rsidP="00B0186D">
      <w:pPr>
        <w:spacing w:after="0" w:line="360" w:lineRule="auto"/>
        <w:ind w:firstLine="708"/>
        <w:jc w:val="both"/>
        <w:rPr>
          <w:rFonts w:ascii="Bookman Old Style" w:hAnsi="Bookman Old Style"/>
          <w:spacing w:val="-4"/>
          <w:sz w:val="28"/>
          <w:szCs w:val="28"/>
        </w:rPr>
      </w:pPr>
      <w:r w:rsidRPr="007E2DCA">
        <w:rPr>
          <w:rFonts w:ascii="Bookman Old Style" w:hAnsi="Bookman Old Style"/>
          <w:spacing w:val="-4"/>
          <w:sz w:val="28"/>
          <w:szCs w:val="28"/>
          <w:lang w:val="es-ES_tradnl"/>
        </w:rPr>
        <w:t>5</w:t>
      </w:r>
      <w:r w:rsidR="00164E25" w:rsidRPr="007E2DCA">
        <w:rPr>
          <w:rFonts w:ascii="Bookman Old Style" w:hAnsi="Bookman Old Style"/>
          <w:spacing w:val="-4"/>
          <w:sz w:val="28"/>
          <w:szCs w:val="28"/>
          <w:lang w:val="es-ES_tradnl"/>
        </w:rPr>
        <w:t xml:space="preserve">. </w:t>
      </w:r>
      <w:r w:rsidR="00B0186D" w:rsidRPr="007E2DCA">
        <w:rPr>
          <w:rFonts w:ascii="Bookman Old Style" w:hAnsi="Bookman Old Style"/>
          <w:spacing w:val="-4"/>
          <w:sz w:val="28"/>
          <w:szCs w:val="28"/>
          <w:lang w:val="es-ES_tradnl"/>
        </w:rPr>
        <w:t>Según la Fiscalía, el abogado de esa procesada,</w:t>
      </w:r>
      <w:r w:rsidR="00B67623" w:rsidRPr="007E2DCA">
        <w:rPr>
          <w:rFonts w:ascii="Bookman Old Style" w:hAnsi="Bookman Old Style"/>
          <w:spacing w:val="-4"/>
          <w:sz w:val="28"/>
          <w:szCs w:val="28"/>
        </w:rPr>
        <w:t xml:space="preserve"> en el pasado</w:t>
      </w:r>
      <w:r w:rsidR="001D0228" w:rsidRPr="007E2DCA">
        <w:rPr>
          <w:rFonts w:ascii="Bookman Old Style" w:hAnsi="Bookman Old Style"/>
          <w:spacing w:val="-4"/>
          <w:sz w:val="28"/>
          <w:szCs w:val="28"/>
        </w:rPr>
        <w:t xml:space="preserve">, </w:t>
      </w:r>
      <w:r w:rsidR="00B67623" w:rsidRPr="007E2DCA">
        <w:rPr>
          <w:rFonts w:ascii="Bookman Old Style" w:hAnsi="Bookman Old Style"/>
          <w:spacing w:val="-4"/>
          <w:sz w:val="28"/>
          <w:szCs w:val="28"/>
        </w:rPr>
        <w:t>ostentó la investidura de fiscal segundo delegado ante el Tribunal Superior de Villavicencio y participó en el comité técnico jurídico del 28 de julio de 2015</w:t>
      </w:r>
      <w:r w:rsidR="00B0186D" w:rsidRPr="007E2DCA">
        <w:rPr>
          <w:rFonts w:ascii="Bookman Old Style" w:hAnsi="Bookman Old Style"/>
          <w:spacing w:val="-4"/>
          <w:sz w:val="28"/>
          <w:szCs w:val="28"/>
        </w:rPr>
        <w:t xml:space="preserve">. Este </w:t>
      </w:r>
      <w:r w:rsidR="00B948FB" w:rsidRPr="007E2DCA">
        <w:rPr>
          <w:rFonts w:ascii="Bookman Old Style" w:hAnsi="Bookman Old Style"/>
          <w:spacing w:val="-4"/>
          <w:sz w:val="28"/>
          <w:szCs w:val="28"/>
        </w:rPr>
        <w:t>estuvo relacionado</w:t>
      </w:r>
      <w:r w:rsidR="00B67623" w:rsidRPr="007E2DCA">
        <w:rPr>
          <w:rFonts w:ascii="Bookman Old Style" w:hAnsi="Bookman Old Style"/>
          <w:spacing w:val="-4"/>
          <w:sz w:val="28"/>
          <w:szCs w:val="28"/>
        </w:rPr>
        <w:t xml:space="preserve"> con la investigación </w:t>
      </w:r>
      <w:r w:rsidR="00010415" w:rsidRPr="007E2DCA">
        <w:rPr>
          <w:rFonts w:ascii="Bookman Old Style" w:hAnsi="Bookman Old Style"/>
          <w:spacing w:val="-4"/>
          <w:sz w:val="28"/>
          <w:szCs w:val="28"/>
        </w:rPr>
        <w:t>seguida contra</w:t>
      </w:r>
      <w:r w:rsidR="00507823" w:rsidRPr="007E2DCA">
        <w:rPr>
          <w:rFonts w:ascii="Bookman Old Style" w:hAnsi="Bookman Old Style"/>
          <w:spacing w:val="-4"/>
          <w:sz w:val="28"/>
          <w:szCs w:val="28"/>
        </w:rPr>
        <w:t xml:space="preserve"> </w:t>
      </w:r>
      <w:r w:rsidR="00507823" w:rsidRPr="007E2DCA">
        <w:rPr>
          <w:rFonts w:ascii="Bookman Old Style" w:hAnsi="Bookman Old Style" w:cs="Arial"/>
          <w:spacing w:val="-4"/>
          <w:sz w:val="28"/>
          <w:szCs w:val="28"/>
          <w:lang w:val="es-ES"/>
        </w:rPr>
        <w:t xml:space="preserve">contra </w:t>
      </w:r>
      <w:r w:rsidR="00507823" w:rsidRPr="007E2DCA">
        <w:rPr>
          <w:rFonts w:ascii="Bookman Old Style" w:hAnsi="Bookman Old Style" w:cs="Arial"/>
          <w:spacing w:val="-4"/>
          <w:sz w:val="28"/>
          <w:szCs w:val="28"/>
        </w:rPr>
        <w:t>William Alberto Rubio Herrera</w:t>
      </w:r>
      <w:r w:rsidR="00010415" w:rsidRPr="007E2DCA">
        <w:rPr>
          <w:rFonts w:ascii="Bookman Old Style" w:hAnsi="Bookman Old Style"/>
          <w:spacing w:val="-4"/>
          <w:sz w:val="28"/>
          <w:szCs w:val="28"/>
        </w:rPr>
        <w:t>,</w:t>
      </w:r>
      <w:r w:rsidR="00B67623" w:rsidRPr="007E2DCA">
        <w:rPr>
          <w:rFonts w:ascii="Bookman Old Style" w:hAnsi="Bookman Old Style"/>
          <w:spacing w:val="-4"/>
          <w:sz w:val="28"/>
          <w:szCs w:val="28"/>
        </w:rPr>
        <w:t xml:space="preserve"> cuya terminación </w:t>
      </w:r>
      <w:r w:rsidR="00010415" w:rsidRPr="007E2DCA">
        <w:rPr>
          <w:rFonts w:ascii="Bookman Old Style" w:hAnsi="Bookman Old Style"/>
          <w:spacing w:val="-4"/>
          <w:sz w:val="28"/>
          <w:szCs w:val="28"/>
        </w:rPr>
        <w:t xml:space="preserve">mediante la </w:t>
      </w:r>
      <w:r w:rsidR="00B67623" w:rsidRPr="007E2DCA">
        <w:rPr>
          <w:rFonts w:ascii="Bookman Old Style" w:hAnsi="Bookman Old Style"/>
          <w:spacing w:val="-4"/>
          <w:sz w:val="28"/>
          <w:szCs w:val="28"/>
        </w:rPr>
        <w:t xml:space="preserve">aplicación del principio de oportunidad dio origen al proceso penal por prevaricato </w:t>
      </w:r>
      <w:r w:rsidR="00010415" w:rsidRPr="007E2DCA">
        <w:rPr>
          <w:rFonts w:ascii="Bookman Old Style" w:hAnsi="Bookman Old Style"/>
          <w:spacing w:val="-4"/>
          <w:sz w:val="28"/>
          <w:szCs w:val="28"/>
        </w:rPr>
        <w:t xml:space="preserve">seguido </w:t>
      </w:r>
      <w:r w:rsidR="00B67623" w:rsidRPr="007E2DCA">
        <w:rPr>
          <w:rFonts w:ascii="Bookman Old Style" w:hAnsi="Bookman Old Style"/>
          <w:spacing w:val="-4"/>
          <w:sz w:val="28"/>
          <w:szCs w:val="28"/>
        </w:rPr>
        <w:t xml:space="preserve">contra la fiscal y la juez procesadas en esta </w:t>
      </w:r>
      <w:r w:rsidR="00010415" w:rsidRPr="007E2DCA">
        <w:rPr>
          <w:rFonts w:ascii="Bookman Old Style" w:hAnsi="Bookman Old Style"/>
          <w:spacing w:val="-4"/>
          <w:sz w:val="28"/>
          <w:szCs w:val="28"/>
          <w:lang w:val="es-ES_tradnl"/>
        </w:rPr>
        <w:t xml:space="preserve">actuación. </w:t>
      </w:r>
    </w:p>
    <w:p w14:paraId="2012B6E1" w14:textId="77777777" w:rsidR="00010415" w:rsidRPr="007E2DCA" w:rsidRDefault="00010415" w:rsidP="00010415">
      <w:pPr>
        <w:spacing w:after="0" w:line="360" w:lineRule="auto"/>
        <w:ind w:firstLine="708"/>
        <w:jc w:val="both"/>
        <w:rPr>
          <w:rFonts w:ascii="Bookman Old Style" w:hAnsi="Bookman Old Style"/>
          <w:spacing w:val="-4"/>
          <w:sz w:val="28"/>
          <w:szCs w:val="28"/>
          <w:lang w:val="es-ES_tradnl"/>
        </w:rPr>
      </w:pPr>
    </w:p>
    <w:p w14:paraId="60064808" w14:textId="62816E52" w:rsidR="00796805" w:rsidRPr="007E2DCA" w:rsidRDefault="0055196D" w:rsidP="20A6394F">
      <w:pPr>
        <w:spacing w:after="0" w:line="360" w:lineRule="auto"/>
        <w:ind w:firstLine="708"/>
        <w:jc w:val="both"/>
        <w:rPr>
          <w:rFonts w:ascii="Bookman Old Style" w:hAnsi="Bookman Old Style"/>
          <w:spacing w:val="-4"/>
          <w:sz w:val="28"/>
          <w:szCs w:val="28"/>
          <w:lang w:val="es-ES"/>
        </w:rPr>
      </w:pPr>
      <w:r w:rsidRPr="007E2DCA">
        <w:rPr>
          <w:rFonts w:ascii="Bookman Old Style" w:hAnsi="Bookman Old Style"/>
          <w:spacing w:val="-4"/>
          <w:sz w:val="28"/>
          <w:szCs w:val="28"/>
          <w:lang w:val="es-ES"/>
        </w:rPr>
        <w:t>No obstante</w:t>
      </w:r>
      <w:r w:rsidR="00B67623" w:rsidRPr="007E2DCA">
        <w:rPr>
          <w:rFonts w:ascii="Bookman Old Style" w:hAnsi="Bookman Old Style"/>
          <w:spacing w:val="-4"/>
          <w:sz w:val="28"/>
          <w:szCs w:val="28"/>
          <w:lang w:val="es-ES"/>
        </w:rPr>
        <w:t xml:space="preserve">, el Tribunal </w:t>
      </w:r>
      <w:r w:rsidR="00253323" w:rsidRPr="007E2DCA">
        <w:rPr>
          <w:rFonts w:ascii="Bookman Old Style" w:hAnsi="Bookman Old Style"/>
          <w:spacing w:val="-4"/>
          <w:sz w:val="28"/>
          <w:szCs w:val="28"/>
          <w:lang w:val="es-ES"/>
        </w:rPr>
        <w:t xml:space="preserve">contrastó las </w:t>
      </w:r>
      <w:r w:rsidR="001D0228" w:rsidRPr="007E2DCA">
        <w:rPr>
          <w:rFonts w:ascii="Bookman Old Style" w:hAnsi="Bookman Old Style"/>
          <w:spacing w:val="-4"/>
          <w:sz w:val="28"/>
          <w:szCs w:val="28"/>
          <w:lang w:val="es-ES"/>
        </w:rPr>
        <w:t xml:space="preserve">normas que integral el régimen de </w:t>
      </w:r>
      <w:r w:rsidR="00436760" w:rsidRPr="007E2DCA">
        <w:rPr>
          <w:rFonts w:ascii="Bookman Old Style" w:hAnsi="Bookman Old Style"/>
          <w:spacing w:val="-4"/>
          <w:sz w:val="28"/>
          <w:szCs w:val="28"/>
          <w:lang w:val="es-ES"/>
        </w:rPr>
        <w:t>incompatibilidades</w:t>
      </w:r>
      <w:r w:rsidR="001D0228" w:rsidRPr="007E2DCA">
        <w:rPr>
          <w:rFonts w:ascii="Bookman Old Style" w:hAnsi="Bookman Old Style"/>
          <w:spacing w:val="-4"/>
          <w:sz w:val="28"/>
          <w:szCs w:val="28"/>
          <w:lang w:val="es-ES"/>
        </w:rPr>
        <w:t xml:space="preserve"> para </w:t>
      </w:r>
      <w:r w:rsidR="00436760" w:rsidRPr="007E2DCA">
        <w:rPr>
          <w:rFonts w:ascii="Bookman Old Style" w:hAnsi="Bookman Old Style"/>
          <w:spacing w:val="-4"/>
          <w:sz w:val="28"/>
          <w:szCs w:val="28"/>
          <w:lang w:val="es-ES"/>
        </w:rPr>
        <w:t>abogados</w:t>
      </w:r>
      <w:r w:rsidR="00114197" w:rsidRPr="007E2DCA">
        <w:rPr>
          <w:rFonts w:ascii="Bookman Old Style" w:hAnsi="Bookman Old Style"/>
          <w:spacing w:val="-4"/>
          <w:sz w:val="28"/>
          <w:szCs w:val="28"/>
          <w:lang w:val="es-ES"/>
        </w:rPr>
        <w:t>, especialmente el numeral 5° del artículo 29 de la Ley 1123 de 2007 y el artículo 3° de la Ley 1474 de 2011</w:t>
      </w:r>
      <w:r w:rsidR="00253323" w:rsidRPr="007E2DCA">
        <w:rPr>
          <w:rFonts w:ascii="Bookman Old Style" w:hAnsi="Bookman Old Style"/>
          <w:spacing w:val="-4"/>
          <w:sz w:val="28"/>
          <w:szCs w:val="28"/>
          <w:lang w:val="es-ES"/>
        </w:rPr>
        <w:t xml:space="preserve"> con la participación </w:t>
      </w:r>
      <w:r w:rsidRPr="007E2DCA">
        <w:rPr>
          <w:rFonts w:ascii="Bookman Old Style" w:hAnsi="Bookman Old Style"/>
          <w:spacing w:val="-4"/>
          <w:sz w:val="28"/>
          <w:szCs w:val="28"/>
          <w:lang w:val="es-ES"/>
        </w:rPr>
        <w:t xml:space="preserve">del defensor de </w:t>
      </w:r>
      <w:r w:rsidRPr="007E2DCA">
        <w:rPr>
          <w:rFonts w:ascii="Bookman Old Style" w:hAnsi="Bookman Old Style" w:cs="Arial"/>
          <w:smallCaps/>
          <w:spacing w:val="-4"/>
          <w:sz w:val="28"/>
          <w:szCs w:val="28"/>
          <w:lang w:val="es-ES"/>
        </w:rPr>
        <w:t>García Luna</w:t>
      </w:r>
      <w:r w:rsidR="00B948FB" w:rsidRPr="007E2DCA">
        <w:rPr>
          <w:rFonts w:ascii="Bookman Old Style" w:hAnsi="Bookman Old Style" w:cs="Arial"/>
          <w:smallCaps/>
          <w:spacing w:val="-4"/>
          <w:sz w:val="28"/>
          <w:szCs w:val="28"/>
          <w:lang w:val="es-ES"/>
        </w:rPr>
        <w:t xml:space="preserve"> </w:t>
      </w:r>
      <w:r w:rsidR="00796805" w:rsidRPr="007E2DCA">
        <w:rPr>
          <w:rFonts w:ascii="Bookman Old Style" w:eastAsia="Times New Roman" w:hAnsi="Bookman Old Style" w:cs="Times New Roman"/>
          <w:spacing w:val="-4"/>
          <w:sz w:val="28"/>
          <w:szCs w:val="28"/>
        </w:rPr>
        <w:t>en e</w:t>
      </w:r>
      <w:r w:rsidR="00253323" w:rsidRPr="007E2DCA">
        <w:rPr>
          <w:rFonts w:ascii="Bookman Old Style" w:eastAsia="Times New Roman" w:hAnsi="Bookman Old Style" w:cs="Times New Roman"/>
          <w:spacing w:val="-4"/>
          <w:sz w:val="28"/>
          <w:szCs w:val="28"/>
        </w:rPr>
        <w:t xml:space="preserve">l comité </w:t>
      </w:r>
      <w:r w:rsidR="00253323" w:rsidRPr="007E2DCA">
        <w:rPr>
          <w:rFonts w:ascii="Bookman Old Style" w:hAnsi="Bookman Old Style" w:cs="Arial"/>
          <w:spacing w:val="-4"/>
          <w:sz w:val="28"/>
          <w:szCs w:val="28"/>
          <w:lang w:val="es-ES"/>
        </w:rPr>
        <w:t>técnico jurídico de la Fiscalía</w:t>
      </w:r>
      <w:r w:rsidR="00253323" w:rsidRPr="007E2DCA">
        <w:rPr>
          <w:rFonts w:ascii="Bookman Old Style" w:eastAsia="Times New Roman" w:hAnsi="Bookman Old Style" w:cs="Times New Roman"/>
          <w:spacing w:val="-4"/>
          <w:sz w:val="28"/>
          <w:szCs w:val="28"/>
        </w:rPr>
        <w:t xml:space="preserve"> de</w:t>
      </w:r>
      <w:r w:rsidR="00507823" w:rsidRPr="007E2DCA">
        <w:rPr>
          <w:rFonts w:ascii="Bookman Old Style" w:eastAsia="Times New Roman" w:hAnsi="Bookman Old Style" w:cs="Times New Roman"/>
          <w:spacing w:val="-4"/>
          <w:sz w:val="28"/>
          <w:szCs w:val="28"/>
        </w:rPr>
        <w:t>l año</w:t>
      </w:r>
      <w:r w:rsidR="00253323" w:rsidRPr="007E2DCA">
        <w:rPr>
          <w:rFonts w:ascii="Bookman Old Style" w:eastAsia="Times New Roman" w:hAnsi="Bookman Old Style" w:cs="Times New Roman"/>
          <w:spacing w:val="-4"/>
          <w:sz w:val="28"/>
          <w:szCs w:val="28"/>
        </w:rPr>
        <w:t xml:space="preserve"> 2015</w:t>
      </w:r>
      <w:r w:rsidR="00796805" w:rsidRPr="007E2DCA">
        <w:rPr>
          <w:rFonts w:ascii="Bookman Old Style" w:eastAsia="Times New Roman" w:hAnsi="Bookman Old Style" w:cs="Times New Roman"/>
          <w:spacing w:val="-4"/>
          <w:sz w:val="28"/>
          <w:szCs w:val="28"/>
        </w:rPr>
        <w:t>,</w:t>
      </w:r>
      <w:r w:rsidR="00253323" w:rsidRPr="007E2DCA">
        <w:rPr>
          <w:rFonts w:ascii="Bookman Old Style" w:eastAsia="Times New Roman" w:hAnsi="Bookman Old Style" w:cs="Times New Roman"/>
          <w:spacing w:val="-4"/>
          <w:sz w:val="28"/>
          <w:szCs w:val="28"/>
        </w:rPr>
        <w:t xml:space="preserve"> </w:t>
      </w:r>
      <w:r w:rsidR="00796805" w:rsidRPr="007E2DCA">
        <w:rPr>
          <w:rFonts w:ascii="Bookman Old Style" w:eastAsia="Times New Roman" w:hAnsi="Bookman Old Style" w:cs="Times New Roman"/>
          <w:spacing w:val="-4"/>
          <w:sz w:val="28"/>
          <w:szCs w:val="28"/>
        </w:rPr>
        <w:t>así como con</w:t>
      </w:r>
      <w:r w:rsidR="00253323" w:rsidRPr="007E2DCA">
        <w:rPr>
          <w:rFonts w:ascii="Bookman Old Style" w:eastAsia="Times New Roman" w:hAnsi="Bookman Old Style" w:cs="Times New Roman"/>
          <w:spacing w:val="-4"/>
          <w:sz w:val="28"/>
          <w:szCs w:val="28"/>
        </w:rPr>
        <w:t xml:space="preserve"> las </w:t>
      </w:r>
      <w:r w:rsidR="00317F6A" w:rsidRPr="007E2DCA">
        <w:rPr>
          <w:rFonts w:ascii="Bookman Old Style" w:hAnsi="Bookman Old Style"/>
          <w:spacing w:val="-4"/>
          <w:sz w:val="28"/>
          <w:szCs w:val="28"/>
          <w:lang w:val="es-ES"/>
        </w:rPr>
        <w:t xml:space="preserve">actuaciones judiciales </w:t>
      </w:r>
      <w:r w:rsidR="00796805" w:rsidRPr="007E2DCA">
        <w:rPr>
          <w:rFonts w:ascii="Bookman Old Style" w:hAnsi="Bookman Old Style"/>
          <w:spacing w:val="-4"/>
          <w:sz w:val="28"/>
          <w:szCs w:val="28"/>
          <w:lang w:val="es-ES"/>
        </w:rPr>
        <w:t>de julio de 2022</w:t>
      </w:r>
      <w:r w:rsidR="00796805" w:rsidRPr="007E2DCA">
        <w:rPr>
          <w:rFonts w:ascii="Bookman Old Style" w:hAnsi="Bookman Old Style"/>
          <w:spacing w:val="-4"/>
          <w:sz w:val="24"/>
          <w:szCs w:val="24"/>
          <w:lang w:val="es-ES"/>
        </w:rPr>
        <w:t xml:space="preserve"> </w:t>
      </w:r>
      <w:r w:rsidR="00317F6A" w:rsidRPr="007E2DCA">
        <w:rPr>
          <w:rFonts w:ascii="Bookman Old Style" w:hAnsi="Bookman Old Style"/>
          <w:spacing w:val="-4"/>
          <w:sz w:val="28"/>
          <w:szCs w:val="28"/>
          <w:lang w:val="es-ES"/>
        </w:rPr>
        <w:t xml:space="preserve">que se reprochan a las procesadas en el </w:t>
      </w:r>
      <w:r w:rsidR="00796805" w:rsidRPr="007E2DCA">
        <w:rPr>
          <w:rFonts w:ascii="Bookman Old Style" w:hAnsi="Bookman Old Style"/>
          <w:spacing w:val="-4"/>
          <w:sz w:val="28"/>
          <w:szCs w:val="28"/>
          <w:lang w:val="es-ES"/>
        </w:rPr>
        <w:t xml:space="preserve">presente </w:t>
      </w:r>
      <w:r w:rsidR="00317F6A" w:rsidRPr="007E2DCA">
        <w:rPr>
          <w:rFonts w:ascii="Bookman Old Style" w:hAnsi="Bookman Old Style"/>
          <w:spacing w:val="-4"/>
          <w:sz w:val="28"/>
          <w:szCs w:val="28"/>
          <w:lang w:val="es-ES"/>
        </w:rPr>
        <w:t xml:space="preserve">asunto penal </w:t>
      </w:r>
      <w:r w:rsidR="00796805" w:rsidRPr="007E2DCA">
        <w:rPr>
          <w:rFonts w:ascii="Bookman Old Style" w:hAnsi="Bookman Old Style"/>
          <w:spacing w:val="-4"/>
          <w:sz w:val="28"/>
          <w:szCs w:val="28"/>
          <w:lang w:val="es-ES"/>
        </w:rPr>
        <w:t>que está a</w:t>
      </w:r>
      <w:r w:rsidR="00317F6A" w:rsidRPr="007E2DCA">
        <w:rPr>
          <w:rFonts w:ascii="Bookman Old Style" w:hAnsi="Bookman Old Style"/>
          <w:spacing w:val="-4"/>
          <w:sz w:val="28"/>
          <w:szCs w:val="28"/>
          <w:lang w:val="es-ES"/>
        </w:rPr>
        <w:t xml:space="preserve"> instancias de juicio oral</w:t>
      </w:r>
      <w:r w:rsidR="00796805" w:rsidRPr="007E2DCA">
        <w:rPr>
          <w:rFonts w:ascii="Bookman Old Style" w:hAnsi="Bookman Old Style"/>
          <w:spacing w:val="-4"/>
          <w:sz w:val="28"/>
          <w:szCs w:val="28"/>
          <w:lang w:val="es-ES"/>
        </w:rPr>
        <w:t>.</w:t>
      </w:r>
    </w:p>
    <w:p w14:paraId="46F9BFD9" w14:textId="77777777" w:rsidR="00796805" w:rsidRPr="007E2DCA" w:rsidRDefault="00796805" w:rsidP="20A6394F">
      <w:pPr>
        <w:spacing w:after="0" w:line="360" w:lineRule="auto"/>
        <w:ind w:firstLine="708"/>
        <w:jc w:val="both"/>
        <w:rPr>
          <w:rFonts w:ascii="Bookman Old Style" w:hAnsi="Bookman Old Style"/>
          <w:spacing w:val="-4"/>
          <w:sz w:val="28"/>
          <w:szCs w:val="28"/>
          <w:lang w:val="es-ES"/>
        </w:rPr>
      </w:pPr>
    </w:p>
    <w:p w14:paraId="6E568409" w14:textId="77777777" w:rsidR="00F95628" w:rsidRPr="007E2DCA" w:rsidRDefault="00460C48" w:rsidP="20A6394F">
      <w:pPr>
        <w:spacing w:after="0" w:line="360" w:lineRule="auto"/>
        <w:ind w:firstLine="708"/>
        <w:jc w:val="both"/>
        <w:rPr>
          <w:rFonts w:ascii="Bookman Old Style" w:eastAsia="Times New Roman" w:hAnsi="Bookman Old Style" w:cs="Times New Roman"/>
          <w:spacing w:val="-4"/>
          <w:sz w:val="28"/>
          <w:szCs w:val="28"/>
        </w:rPr>
      </w:pPr>
      <w:r w:rsidRPr="007E2DCA">
        <w:rPr>
          <w:rFonts w:ascii="Bookman Old Style" w:hAnsi="Bookman Old Style"/>
          <w:spacing w:val="-4"/>
          <w:sz w:val="28"/>
          <w:szCs w:val="28"/>
          <w:lang w:val="es-ES"/>
        </w:rPr>
        <w:t xml:space="preserve">Dicho ejercicio permitió a esa Corporación negar la petición de la Fiscalía, dado que la incompatibilidad del abogado para ejercer la defensa de una de las acusadas resultaba notoriamente improcedente, </w:t>
      </w:r>
      <w:r w:rsidR="00253323" w:rsidRPr="007E2DCA">
        <w:rPr>
          <w:rFonts w:ascii="Bookman Old Style" w:eastAsia="Times New Roman" w:hAnsi="Bookman Old Style" w:cs="Times New Roman"/>
          <w:spacing w:val="-4"/>
          <w:sz w:val="28"/>
          <w:szCs w:val="28"/>
        </w:rPr>
        <w:t>pues el exfuncionario</w:t>
      </w:r>
      <w:r w:rsidR="00114197" w:rsidRPr="007E2DCA">
        <w:rPr>
          <w:rFonts w:ascii="Bookman Old Style" w:eastAsia="Times New Roman" w:hAnsi="Bookman Old Style" w:cs="Times New Roman"/>
          <w:spacing w:val="-4"/>
          <w:sz w:val="28"/>
          <w:szCs w:val="28"/>
        </w:rPr>
        <w:t xml:space="preserve"> </w:t>
      </w:r>
      <w:r w:rsidR="006B472F" w:rsidRPr="007E2DCA">
        <w:rPr>
          <w:rFonts w:ascii="Bookman Old Style" w:eastAsia="Times New Roman" w:hAnsi="Bookman Old Style" w:cs="Times New Roman"/>
          <w:spacing w:val="-4"/>
          <w:sz w:val="28"/>
          <w:szCs w:val="28"/>
        </w:rPr>
        <w:t xml:space="preserve">no conoció el asunto concreto que actualmente tramita el </w:t>
      </w:r>
      <w:r w:rsidR="006B472F" w:rsidRPr="007E2DCA">
        <w:rPr>
          <w:rFonts w:ascii="Bookman Old Style" w:eastAsia="Times New Roman" w:hAnsi="Bookman Old Style" w:cs="Times New Roman"/>
          <w:spacing w:val="-4"/>
          <w:sz w:val="28"/>
          <w:szCs w:val="28"/>
        </w:rPr>
        <w:lastRenderedPageBreak/>
        <w:t xml:space="preserve">Tribunal, sino que se limitó a asistir a un comité técnico de fiscalías, en el que se discutió el archivo de la indagación contra William Alberto Rubio Herrera por el delito de prevaricato por omisión. </w:t>
      </w:r>
    </w:p>
    <w:p w14:paraId="3EB4EBE3" w14:textId="77777777" w:rsidR="00F95628" w:rsidRPr="007E2DCA" w:rsidRDefault="00F95628" w:rsidP="20A6394F">
      <w:pPr>
        <w:spacing w:after="0" w:line="360" w:lineRule="auto"/>
        <w:ind w:firstLine="708"/>
        <w:jc w:val="both"/>
        <w:rPr>
          <w:rFonts w:ascii="Bookman Old Style" w:eastAsia="Times New Roman" w:hAnsi="Bookman Old Style" w:cs="Times New Roman"/>
          <w:spacing w:val="-4"/>
          <w:sz w:val="28"/>
          <w:szCs w:val="28"/>
        </w:rPr>
      </w:pPr>
    </w:p>
    <w:p w14:paraId="475C3BE8" w14:textId="6B617979" w:rsidR="00317F6A" w:rsidRPr="007E2DCA" w:rsidRDefault="00F95628" w:rsidP="20A6394F">
      <w:pPr>
        <w:spacing w:after="0" w:line="360" w:lineRule="auto"/>
        <w:ind w:firstLine="708"/>
        <w:jc w:val="both"/>
        <w:rPr>
          <w:rFonts w:ascii="Bookman Old Style" w:hAnsi="Bookman Old Style"/>
          <w:spacing w:val="-4"/>
          <w:sz w:val="28"/>
          <w:szCs w:val="28"/>
          <w:lang w:val="es-ES"/>
        </w:rPr>
      </w:pPr>
      <w:r w:rsidRPr="007E2DCA">
        <w:rPr>
          <w:rFonts w:ascii="Bookman Old Style" w:eastAsia="Times New Roman" w:hAnsi="Bookman Old Style" w:cs="Times New Roman"/>
          <w:spacing w:val="-4"/>
          <w:sz w:val="28"/>
          <w:szCs w:val="28"/>
        </w:rPr>
        <w:t>Argumentó que, como el actual</w:t>
      </w:r>
      <w:r w:rsidR="006B472F" w:rsidRPr="007E2DCA">
        <w:rPr>
          <w:rFonts w:ascii="Bookman Old Style" w:eastAsia="Times New Roman" w:hAnsi="Bookman Old Style" w:cs="Times New Roman"/>
          <w:spacing w:val="-4"/>
          <w:sz w:val="28"/>
          <w:szCs w:val="28"/>
        </w:rPr>
        <w:t xml:space="preserve"> escenario fáctico y jurídico no guarda relación alguna con las actuaciones que las acusadas desplegaron en 2022, relativas a la aplicación de un principio de oportunidad en favor del referido investigado</w:t>
      </w:r>
      <w:r w:rsidRPr="007E2DCA">
        <w:rPr>
          <w:rFonts w:ascii="Bookman Old Style" w:eastAsia="Times New Roman" w:hAnsi="Bookman Old Style" w:cs="Times New Roman"/>
          <w:spacing w:val="-4"/>
          <w:sz w:val="28"/>
          <w:szCs w:val="28"/>
        </w:rPr>
        <w:t>, no advertía ninguna incompatibilidad</w:t>
      </w:r>
      <w:r w:rsidR="006B472F" w:rsidRPr="007E2DCA">
        <w:rPr>
          <w:rFonts w:ascii="Bookman Old Style" w:eastAsia="Times New Roman" w:hAnsi="Bookman Old Style" w:cs="Times New Roman"/>
          <w:spacing w:val="-4"/>
          <w:sz w:val="28"/>
          <w:szCs w:val="28"/>
        </w:rPr>
        <w:t>.</w:t>
      </w:r>
    </w:p>
    <w:p w14:paraId="57A7FADF" w14:textId="77777777" w:rsidR="001D0228" w:rsidRPr="007E2DCA" w:rsidRDefault="001D0228" w:rsidP="0082398B">
      <w:pPr>
        <w:spacing w:after="0" w:line="360" w:lineRule="auto"/>
        <w:ind w:firstLine="708"/>
        <w:jc w:val="both"/>
        <w:rPr>
          <w:rFonts w:ascii="Bookman Old Style" w:hAnsi="Bookman Old Style"/>
          <w:spacing w:val="-4"/>
          <w:sz w:val="28"/>
          <w:szCs w:val="28"/>
          <w:lang w:val="es-ES_tradnl"/>
        </w:rPr>
      </w:pPr>
    </w:p>
    <w:p w14:paraId="185AAC73" w14:textId="7A8DF5BD" w:rsidR="00317F6A" w:rsidRPr="007E2DCA" w:rsidRDefault="00317F6A" w:rsidP="20A6394F">
      <w:pPr>
        <w:spacing w:after="0" w:line="360" w:lineRule="auto"/>
        <w:ind w:firstLine="708"/>
        <w:jc w:val="both"/>
        <w:rPr>
          <w:rFonts w:ascii="Bookman Old Style" w:hAnsi="Bookman Old Style"/>
          <w:spacing w:val="-4"/>
          <w:sz w:val="28"/>
          <w:szCs w:val="28"/>
          <w:lang w:val="es-ES"/>
        </w:rPr>
      </w:pPr>
      <w:r w:rsidRPr="007E2DCA">
        <w:rPr>
          <w:rFonts w:ascii="Bookman Old Style" w:hAnsi="Bookman Old Style"/>
          <w:spacing w:val="-4"/>
          <w:sz w:val="28"/>
          <w:szCs w:val="28"/>
          <w:lang w:val="es-ES"/>
        </w:rPr>
        <w:t xml:space="preserve">Frente </w:t>
      </w:r>
      <w:r w:rsidR="00507823" w:rsidRPr="007E2DCA">
        <w:rPr>
          <w:rFonts w:ascii="Bookman Old Style" w:hAnsi="Bookman Old Style"/>
          <w:spacing w:val="-4"/>
          <w:sz w:val="28"/>
          <w:szCs w:val="28"/>
          <w:lang w:val="es-ES"/>
        </w:rPr>
        <w:t xml:space="preserve">a tal decisión, el Tribunal </w:t>
      </w:r>
      <w:r w:rsidR="00507823" w:rsidRPr="007E2DCA">
        <w:rPr>
          <w:rFonts w:ascii="Bookman Old Style" w:hAnsi="Bookman Old Style"/>
          <w:spacing w:val="-4"/>
          <w:sz w:val="28"/>
          <w:szCs w:val="28"/>
        </w:rPr>
        <w:t>dio la posibilidad a las partes de interponer el recurso de horizontal</w:t>
      </w:r>
      <w:r w:rsidR="00507823" w:rsidRPr="007E2DCA">
        <w:rPr>
          <w:rFonts w:ascii="Bookman Old Style" w:hAnsi="Bookman Old Style"/>
          <w:spacing w:val="-4"/>
          <w:sz w:val="28"/>
          <w:szCs w:val="28"/>
          <w:lang w:val="es-ES"/>
        </w:rPr>
        <w:t>. L</w:t>
      </w:r>
      <w:r w:rsidRPr="007E2DCA">
        <w:rPr>
          <w:rFonts w:ascii="Bookman Old Style" w:hAnsi="Bookman Old Style"/>
          <w:spacing w:val="-4"/>
          <w:sz w:val="28"/>
          <w:szCs w:val="28"/>
          <w:lang w:val="es-ES"/>
        </w:rPr>
        <w:t xml:space="preserve">a Fiscalía no </w:t>
      </w:r>
      <w:r w:rsidR="00507823" w:rsidRPr="007E2DCA">
        <w:rPr>
          <w:rFonts w:ascii="Bookman Old Style" w:hAnsi="Bookman Old Style"/>
          <w:spacing w:val="-4"/>
          <w:sz w:val="28"/>
          <w:szCs w:val="28"/>
          <w:lang w:val="es-ES"/>
        </w:rPr>
        <w:t xml:space="preserve">lo </w:t>
      </w:r>
      <w:r w:rsidRPr="007E2DCA">
        <w:rPr>
          <w:rFonts w:ascii="Bookman Old Style" w:hAnsi="Bookman Old Style"/>
          <w:spacing w:val="-4"/>
          <w:sz w:val="28"/>
          <w:szCs w:val="28"/>
          <w:lang w:val="es-ES"/>
        </w:rPr>
        <w:t xml:space="preserve">ejerció, y </w:t>
      </w:r>
      <w:r w:rsidR="00507823" w:rsidRPr="007E2DCA">
        <w:rPr>
          <w:rFonts w:ascii="Bookman Old Style" w:hAnsi="Bookman Old Style"/>
          <w:spacing w:val="-4"/>
          <w:sz w:val="28"/>
          <w:szCs w:val="28"/>
          <w:lang w:val="es-ES"/>
        </w:rPr>
        <w:t>optó por</w:t>
      </w:r>
      <w:r w:rsidRPr="007E2DCA">
        <w:rPr>
          <w:rFonts w:ascii="Bookman Old Style" w:hAnsi="Bookman Old Style"/>
          <w:spacing w:val="-4"/>
          <w:sz w:val="28"/>
          <w:szCs w:val="28"/>
          <w:lang w:val="es-ES"/>
        </w:rPr>
        <w:t xml:space="preserve"> presentar el recurso de queja en vista de que no </w:t>
      </w:r>
      <w:r w:rsidR="00F95628" w:rsidRPr="007E2DCA">
        <w:rPr>
          <w:rFonts w:ascii="Bookman Old Style" w:hAnsi="Bookman Old Style"/>
          <w:spacing w:val="-4"/>
          <w:sz w:val="28"/>
          <w:szCs w:val="28"/>
          <w:lang w:val="es-ES"/>
        </w:rPr>
        <w:t>concedió la oportunidad de interponer</w:t>
      </w:r>
      <w:r w:rsidRPr="007E2DCA">
        <w:rPr>
          <w:rFonts w:ascii="Bookman Old Style" w:hAnsi="Bookman Old Style"/>
          <w:spacing w:val="-4"/>
          <w:sz w:val="28"/>
          <w:szCs w:val="28"/>
          <w:lang w:val="es-ES"/>
        </w:rPr>
        <w:t xml:space="preserve"> el de apelación. </w:t>
      </w:r>
    </w:p>
    <w:p w14:paraId="69968553" w14:textId="77777777" w:rsidR="00317F6A" w:rsidRPr="007E2DCA" w:rsidRDefault="00317F6A" w:rsidP="00317F6A">
      <w:pPr>
        <w:spacing w:after="0" w:line="360" w:lineRule="auto"/>
        <w:ind w:firstLine="708"/>
        <w:jc w:val="both"/>
        <w:rPr>
          <w:rFonts w:ascii="Bookman Old Style" w:eastAsia="Times New Roman" w:hAnsi="Bookman Old Style" w:cs="Times New Roman"/>
          <w:spacing w:val="-4"/>
          <w:sz w:val="28"/>
          <w:szCs w:val="28"/>
          <w:lang w:val="es-ES_tradnl"/>
        </w:rPr>
      </w:pPr>
    </w:p>
    <w:p w14:paraId="0D59B68C" w14:textId="6485698D" w:rsidR="000866CC" w:rsidRPr="007E2DCA" w:rsidRDefault="00F95628" w:rsidP="000866CC">
      <w:pPr>
        <w:spacing w:after="0" w:line="360" w:lineRule="auto"/>
        <w:ind w:firstLine="708"/>
        <w:jc w:val="both"/>
        <w:rPr>
          <w:rFonts w:ascii="Bookman Old Style" w:eastAsia="Times New Roman" w:hAnsi="Bookman Old Style"/>
          <w:spacing w:val="-4"/>
          <w:sz w:val="28"/>
          <w:szCs w:val="28"/>
        </w:rPr>
      </w:pPr>
      <w:r w:rsidRPr="007E2DCA">
        <w:rPr>
          <w:rFonts w:ascii="Bookman Old Style" w:eastAsia="Times New Roman" w:hAnsi="Bookman Old Style" w:cs="Times New Roman"/>
          <w:spacing w:val="-4"/>
          <w:sz w:val="28"/>
          <w:szCs w:val="28"/>
          <w:lang w:val="es-ES_tradnl"/>
        </w:rPr>
        <w:t>6</w:t>
      </w:r>
      <w:r w:rsidR="00317F6A" w:rsidRPr="007E2DCA">
        <w:rPr>
          <w:rFonts w:ascii="Bookman Old Style" w:eastAsia="Times New Roman" w:hAnsi="Bookman Old Style" w:cs="Times New Roman"/>
          <w:spacing w:val="-4"/>
          <w:sz w:val="28"/>
          <w:szCs w:val="28"/>
          <w:lang w:val="es-ES_tradnl"/>
        </w:rPr>
        <w:t xml:space="preserve">. </w:t>
      </w:r>
      <w:r w:rsidR="000866CC" w:rsidRPr="007E2DCA">
        <w:rPr>
          <w:rFonts w:ascii="Bookman Old Style" w:eastAsia="Times New Roman" w:hAnsi="Bookman Old Style"/>
          <w:spacing w:val="-4"/>
          <w:sz w:val="28"/>
          <w:szCs w:val="28"/>
        </w:rPr>
        <w:t>Pues bien, aunque el Tribunal no emitió un pronunciamiento expreso respecto de la concesión del recurso de apelación, lo cierto es que, al afirmar que contra su decisión únicamente procedía el recurso de reposición y, aun así, avalar la presentación del recurso de queja y ordenar su remisión a esta Corporación, tácitamente denegó la alzada. Ello, porque la queja solo procede cuando previamente se ha negado la concesión, entre otros recursos, el de apelación.</w:t>
      </w:r>
    </w:p>
    <w:p w14:paraId="639145BA" w14:textId="77777777" w:rsidR="00317F6A" w:rsidRPr="007E2DCA" w:rsidRDefault="00317F6A" w:rsidP="000866CC">
      <w:pPr>
        <w:spacing w:after="0" w:line="360" w:lineRule="auto"/>
        <w:ind w:firstLine="708"/>
        <w:jc w:val="both"/>
        <w:rPr>
          <w:rFonts w:ascii="Bookman Old Style" w:eastAsia="Times New Roman" w:hAnsi="Bookman Old Style" w:cs="Times New Roman"/>
          <w:spacing w:val="-4"/>
          <w:sz w:val="28"/>
          <w:szCs w:val="28"/>
          <w:lang w:val="es-ES_tradnl"/>
        </w:rPr>
      </w:pPr>
    </w:p>
    <w:p w14:paraId="2E21D715" w14:textId="2011EAFE" w:rsidR="00317F6A" w:rsidRPr="007E2DCA" w:rsidRDefault="00C46E4B" w:rsidP="20A6394F">
      <w:pPr>
        <w:spacing w:after="0" w:line="360" w:lineRule="auto"/>
        <w:ind w:firstLine="708"/>
        <w:jc w:val="both"/>
        <w:rPr>
          <w:rFonts w:ascii="Bookman Old Style" w:eastAsia="Times New Roman" w:hAnsi="Bookman Old Style" w:cs="Times New Roman"/>
          <w:spacing w:val="-4"/>
          <w:sz w:val="28"/>
          <w:szCs w:val="28"/>
          <w:lang w:val="es-ES"/>
        </w:rPr>
      </w:pPr>
      <w:r w:rsidRPr="007E2DCA">
        <w:rPr>
          <w:rFonts w:ascii="Bookman Old Style" w:eastAsia="Times New Roman" w:hAnsi="Bookman Old Style" w:cs="Times New Roman"/>
          <w:spacing w:val="-4"/>
          <w:sz w:val="28"/>
          <w:szCs w:val="28"/>
          <w:lang w:val="es-ES"/>
        </w:rPr>
        <w:t xml:space="preserve">7. </w:t>
      </w:r>
      <w:r w:rsidR="000866CC" w:rsidRPr="007E2DCA">
        <w:rPr>
          <w:rFonts w:ascii="Bookman Old Style" w:eastAsia="Times New Roman" w:hAnsi="Bookman Old Style" w:cs="Times New Roman"/>
          <w:spacing w:val="-4"/>
          <w:sz w:val="28"/>
          <w:szCs w:val="28"/>
          <w:lang w:val="es-ES"/>
        </w:rPr>
        <w:t xml:space="preserve">Ahora bien, para la Sala, la negación del recurso </w:t>
      </w:r>
      <w:r w:rsidR="00394823" w:rsidRPr="007E2DCA">
        <w:rPr>
          <w:rFonts w:ascii="Bookman Old Style" w:eastAsia="Times New Roman" w:hAnsi="Bookman Old Style" w:cs="Times New Roman"/>
          <w:spacing w:val="-4"/>
          <w:sz w:val="28"/>
          <w:szCs w:val="28"/>
          <w:lang w:val="es-ES"/>
        </w:rPr>
        <w:t>vertical</w:t>
      </w:r>
      <w:r w:rsidR="000866CC" w:rsidRPr="007E2DCA">
        <w:rPr>
          <w:rFonts w:ascii="Bookman Old Style" w:eastAsia="Times New Roman" w:hAnsi="Bookman Old Style" w:cs="Times New Roman"/>
          <w:spacing w:val="-4"/>
          <w:sz w:val="28"/>
          <w:szCs w:val="28"/>
          <w:lang w:val="es-ES"/>
        </w:rPr>
        <w:t xml:space="preserve">, por parte del Tribunal, es una decisión jurídicamente correcta por una razón muy simple: </w:t>
      </w:r>
      <w:r w:rsidR="00F46E12" w:rsidRPr="007E2DCA">
        <w:rPr>
          <w:rFonts w:ascii="Bookman Old Style" w:eastAsia="Times New Roman" w:hAnsi="Bookman Old Style" w:cs="Times New Roman"/>
          <w:spacing w:val="-4"/>
          <w:sz w:val="28"/>
          <w:szCs w:val="28"/>
          <w:lang w:val="es-ES"/>
        </w:rPr>
        <w:t xml:space="preserve">la decisión de esa Corporación fue una orden, no un auto interlocutorio. No </w:t>
      </w:r>
      <w:r w:rsidR="00F46E12" w:rsidRPr="007E2DCA">
        <w:rPr>
          <w:rFonts w:ascii="Bookman Old Style" w:eastAsia="Times New Roman" w:hAnsi="Bookman Old Style" w:cs="Times New Roman"/>
          <w:spacing w:val="-4"/>
          <w:sz w:val="28"/>
          <w:szCs w:val="28"/>
          <w:lang w:val="es-ES"/>
        </w:rPr>
        <w:lastRenderedPageBreak/>
        <w:t>obstante, por esa misma razón, erró al considerar que contra aquella procedía la reposición.</w:t>
      </w:r>
    </w:p>
    <w:p w14:paraId="0E7A06A6" w14:textId="77777777" w:rsidR="007127D7" w:rsidRPr="007E2DCA" w:rsidRDefault="007127D7" w:rsidP="00C537C2">
      <w:pPr>
        <w:pStyle w:val="Textoindependiente"/>
        <w:spacing w:after="0" w:line="360" w:lineRule="auto"/>
        <w:ind w:firstLine="708"/>
        <w:jc w:val="both"/>
        <w:rPr>
          <w:rFonts w:ascii="Bookman Old Style" w:hAnsi="Bookman Old Style"/>
          <w:spacing w:val="-4"/>
          <w:sz w:val="28"/>
          <w:szCs w:val="28"/>
        </w:rPr>
      </w:pPr>
    </w:p>
    <w:p w14:paraId="6BE90C72" w14:textId="76D29F36" w:rsidR="00F27A2F" w:rsidRPr="007E2DCA" w:rsidRDefault="00F46E12" w:rsidP="00F27A2F">
      <w:pPr>
        <w:pStyle w:val="Textoindependiente"/>
        <w:spacing w:after="0" w:line="360" w:lineRule="auto"/>
        <w:ind w:firstLine="708"/>
        <w:jc w:val="both"/>
        <w:rPr>
          <w:rFonts w:ascii="Bookman Old Style" w:hAnsi="Bookman Old Style"/>
          <w:spacing w:val="-4"/>
          <w:sz w:val="28"/>
          <w:szCs w:val="28"/>
          <w:lang w:val="es-CO"/>
        </w:rPr>
      </w:pPr>
      <w:r w:rsidRPr="007E2DCA">
        <w:rPr>
          <w:rFonts w:ascii="Bookman Old Style" w:hAnsi="Bookman Old Style"/>
          <w:spacing w:val="-4"/>
          <w:sz w:val="28"/>
          <w:szCs w:val="28"/>
        </w:rPr>
        <w:t xml:space="preserve">8. </w:t>
      </w:r>
      <w:r w:rsidR="00F27A2F" w:rsidRPr="007E2DCA">
        <w:rPr>
          <w:rFonts w:ascii="Bookman Old Style" w:hAnsi="Bookman Old Style"/>
          <w:spacing w:val="-4"/>
          <w:sz w:val="28"/>
          <w:szCs w:val="28"/>
          <w:lang w:val="es-CO"/>
        </w:rPr>
        <w:t>De acuerdo con el artículo 161 de la Ley 906 de 2004, las providencias judiciales se clasifican en sentencias, autos y órdenes. Son autos aquellas que resuelven un aspecto sustancial, mientras que son órdenes las que se limitan a disponer cualquier trámite para dar curso a la actuación o evitar su entorpecimiento. La diferencia no es meramente formal: lo que determina la naturaleza de la providencia es el contenido material de lo decidido, esto es, si el juez resolvió</w:t>
      </w:r>
      <w:r w:rsidR="4229363B" w:rsidRPr="007E2DCA">
        <w:rPr>
          <w:rFonts w:ascii="Bookman Old Style" w:hAnsi="Bookman Old Style"/>
          <w:spacing w:val="-4"/>
          <w:sz w:val="28"/>
          <w:szCs w:val="28"/>
          <w:lang w:val="es-CO"/>
        </w:rPr>
        <w:t xml:space="preserve"> una situación</w:t>
      </w:r>
      <w:r w:rsidR="00F27A2F" w:rsidRPr="007E2DCA">
        <w:rPr>
          <w:rFonts w:ascii="Bookman Old Style" w:hAnsi="Bookman Old Style"/>
          <w:spacing w:val="-4"/>
          <w:sz w:val="28"/>
          <w:szCs w:val="28"/>
          <w:lang w:val="es-CO"/>
        </w:rPr>
        <w:t xml:space="preserve"> con trascendencia en los derechos de las partes o simplemente ejerció su facultad de dirección del debate oral. </w:t>
      </w:r>
    </w:p>
    <w:p w14:paraId="479D369D" w14:textId="77777777" w:rsidR="00F27A2F" w:rsidRPr="007E2DCA" w:rsidRDefault="00F27A2F" w:rsidP="00F27A2F">
      <w:pPr>
        <w:pStyle w:val="Textoindependiente"/>
        <w:spacing w:line="360" w:lineRule="auto"/>
        <w:ind w:firstLine="708"/>
        <w:jc w:val="both"/>
        <w:rPr>
          <w:rFonts w:ascii="Bookman Old Style" w:hAnsi="Bookman Old Style"/>
          <w:spacing w:val="-4"/>
          <w:sz w:val="28"/>
          <w:szCs w:val="28"/>
          <w:lang w:val="es-CO"/>
        </w:rPr>
      </w:pPr>
    </w:p>
    <w:p w14:paraId="259597BB" w14:textId="77777777" w:rsidR="00330E13" w:rsidRPr="007E2DCA" w:rsidRDefault="00F27A2F" w:rsidP="00F27A2F">
      <w:pPr>
        <w:pStyle w:val="Textoindependiente"/>
        <w:spacing w:line="360" w:lineRule="auto"/>
        <w:ind w:firstLine="708"/>
        <w:jc w:val="both"/>
        <w:rPr>
          <w:rFonts w:ascii="Bookman Old Style" w:hAnsi="Bookman Old Style"/>
          <w:spacing w:val="-4"/>
          <w:sz w:val="28"/>
          <w:szCs w:val="28"/>
          <w:lang w:val="es-CO"/>
        </w:rPr>
      </w:pPr>
      <w:r w:rsidRPr="007E2DCA">
        <w:rPr>
          <w:rFonts w:ascii="Bookman Old Style" w:hAnsi="Bookman Old Style"/>
          <w:spacing w:val="-4"/>
          <w:sz w:val="28"/>
          <w:szCs w:val="28"/>
          <w:lang w:val="es-CO"/>
        </w:rPr>
        <w:t xml:space="preserve">En el presente asunto, la solicitud de incompatibilidad formulada por la Fiscalía tenía sustento </w:t>
      </w:r>
      <w:r w:rsidR="00330E13" w:rsidRPr="007E2DCA">
        <w:rPr>
          <w:rFonts w:ascii="Bookman Old Style" w:hAnsi="Bookman Old Style"/>
          <w:spacing w:val="-4"/>
          <w:sz w:val="28"/>
          <w:szCs w:val="28"/>
          <w:lang w:val="es-CO"/>
        </w:rPr>
        <w:t xml:space="preserve">en las </w:t>
      </w:r>
      <w:r w:rsidRPr="007E2DCA">
        <w:rPr>
          <w:rFonts w:ascii="Bookman Old Style" w:hAnsi="Bookman Old Style"/>
          <w:spacing w:val="-4"/>
          <w:sz w:val="28"/>
          <w:szCs w:val="28"/>
          <w:lang w:val="es-CO"/>
        </w:rPr>
        <w:t xml:space="preserve">normas que regulan el régimen disciplinario de los abogados. </w:t>
      </w:r>
      <w:r w:rsidR="00330E13" w:rsidRPr="007E2DCA">
        <w:rPr>
          <w:rFonts w:ascii="Bookman Old Style" w:hAnsi="Bookman Old Style"/>
          <w:spacing w:val="-4"/>
          <w:sz w:val="28"/>
          <w:szCs w:val="28"/>
          <w:lang w:val="es-CO"/>
        </w:rPr>
        <w:t>Era</w:t>
      </w:r>
      <w:r w:rsidRPr="007E2DCA">
        <w:rPr>
          <w:rFonts w:ascii="Bookman Old Style" w:hAnsi="Bookman Old Style"/>
          <w:spacing w:val="-4"/>
          <w:sz w:val="28"/>
          <w:szCs w:val="28"/>
          <w:lang w:val="es-CO"/>
        </w:rPr>
        <w:t xml:space="preserve">, por tanto, un asunto de naturaleza deontológica, ajeno al objeto del proceso penal y a la definición de la responsabilidad de las acusadas. </w:t>
      </w:r>
    </w:p>
    <w:p w14:paraId="20800F7E" w14:textId="77777777" w:rsidR="00330E13" w:rsidRPr="007E2DCA" w:rsidRDefault="00330E13" w:rsidP="00F27A2F">
      <w:pPr>
        <w:pStyle w:val="Textoindependiente"/>
        <w:spacing w:line="360" w:lineRule="auto"/>
        <w:ind w:firstLine="708"/>
        <w:jc w:val="both"/>
        <w:rPr>
          <w:rFonts w:ascii="Bookman Old Style" w:hAnsi="Bookman Old Style"/>
          <w:spacing w:val="-4"/>
          <w:sz w:val="28"/>
          <w:szCs w:val="28"/>
          <w:lang w:val="es-CO"/>
        </w:rPr>
      </w:pPr>
    </w:p>
    <w:p w14:paraId="7229F45E" w14:textId="0BAD111A" w:rsidR="00F27A2F" w:rsidRPr="007E2DCA" w:rsidRDefault="00F27A2F" w:rsidP="00F27A2F">
      <w:pPr>
        <w:pStyle w:val="Textoindependiente"/>
        <w:spacing w:line="360" w:lineRule="auto"/>
        <w:ind w:firstLine="708"/>
        <w:jc w:val="both"/>
        <w:rPr>
          <w:rFonts w:ascii="Bookman Old Style" w:hAnsi="Bookman Old Style"/>
          <w:spacing w:val="-4"/>
          <w:sz w:val="28"/>
          <w:szCs w:val="28"/>
          <w:lang w:val="es-CO"/>
        </w:rPr>
      </w:pPr>
      <w:r w:rsidRPr="007E2DCA">
        <w:rPr>
          <w:rFonts w:ascii="Bookman Old Style" w:hAnsi="Bookman Old Style"/>
          <w:spacing w:val="-4"/>
          <w:sz w:val="28"/>
          <w:szCs w:val="28"/>
          <w:lang w:val="es-CO"/>
        </w:rPr>
        <w:t xml:space="preserve">Adicionalmente, la solicitud era improcedente, pues el defensor de </w:t>
      </w:r>
      <w:r w:rsidR="00330E13" w:rsidRPr="007E2DCA">
        <w:rPr>
          <w:rFonts w:ascii="Bookman Old Style" w:hAnsi="Bookman Old Style" w:cs="Arial"/>
          <w:smallCaps/>
          <w:spacing w:val="-4"/>
          <w:sz w:val="28"/>
          <w:szCs w:val="28"/>
        </w:rPr>
        <w:t xml:space="preserve">García Luna </w:t>
      </w:r>
      <w:r w:rsidRPr="007E2DCA">
        <w:rPr>
          <w:rFonts w:ascii="Bookman Old Style" w:hAnsi="Bookman Old Style"/>
          <w:spacing w:val="-4"/>
          <w:sz w:val="28"/>
          <w:szCs w:val="28"/>
          <w:lang w:val="es-CO"/>
        </w:rPr>
        <w:t xml:space="preserve">no conoció el asunto concreto que actualmente se tramita, sino que participó en un comité técnico relacionado con una investigación distinta, cuya terminación dio origen al presente proceso. En esas condiciones, el Tribunal no resolvió ningún incidente sustancial, sino que simplemente despejó un obstáculo para continuar con el desarrollo del juicio oral, lo que corresponde </w:t>
      </w:r>
      <w:r w:rsidRPr="007E2DCA">
        <w:rPr>
          <w:rFonts w:ascii="Bookman Old Style" w:hAnsi="Bookman Old Style"/>
          <w:spacing w:val="-4"/>
          <w:sz w:val="28"/>
          <w:szCs w:val="28"/>
          <w:lang w:val="es-CO"/>
        </w:rPr>
        <w:lastRenderedPageBreak/>
        <w:t>precisamente a la función de dirección de la audiencia que le atribuye el artículo 139 de la Ley 906 de 2004.</w:t>
      </w:r>
      <w:r w:rsidR="00330E13" w:rsidRPr="007E2DCA">
        <w:rPr>
          <w:rFonts w:ascii="Bookman Old Style" w:hAnsi="Bookman Old Style"/>
          <w:spacing w:val="-4"/>
          <w:sz w:val="28"/>
          <w:szCs w:val="28"/>
          <w:lang w:val="es-CO"/>
        </w:rPr>
        <w:t xml:space="preserve"> Además, los derechos fundamentales de las partes no fueron vulnerados.  </w:t>
      </w:r>
    </w:p>
    <w:p w14:paraId="7C566F42" w14:textId="77777777" w:rsidR="00F27A2F" w:rsidRPr="007E2DCA" w:rsidRDefault="00F27A2F" w:rsidP="00F27A2F">
      <w:pPr>
        <w:pStyle w:val="Textoindependiente"/>
        <w:spacing w:line="360" w:lineRule="auto"/>
        <w:ind w:firstLine="708"/>
        <w:jc w:val="both"/>
        <w:rPr>
          <w:rFonts w:ascii="Bookman Old Style" w:hAnsi="Bookman Old Style"/>
          <w:spacing w:val="-4"/>
          <w:sz w:val="28"/>
          <w:szCs w:val="28"/>
          <w:lang w:val="es-CO"/>
        </w:rPr>
      </w:pPr>
    </w:p>
    <w:p w14:paraId="26154298" w14:textId="1587F637" w:rsidR="00F27A2F" w:rsidRPr="007E2DCA" w:rsidRDefault="00F27A2F" w:rsidP="00F27A2F">
      <w:pPr>
        <w:pStyle w:val="Textoindependiente"/>
        <w:spacing w:line="360" w:lineRule="auto"/>
        <w:ind w:firstLine="708"/>
        <w:jc w:val="both"/>
        <w:rPr>
          <w:rFonts w:ascii="Bookman Old Style" w:hAnsi="Bookman Old Style"/>
          <w:spacing w:val="-4"/>
          <w:sz w:val="28"/>
          <w:szCs w:val="28"/>
          <w:lang w:val="es-CO"/>
        </w:rPr>
      </w:pPr>
      <w:r w:rsidRPr="007E2DCA">
        <w:rPr>
          <w:rFonts w:ascii="Bookman Old Style" w:hAnsi="Bookman Old Style"/>
          <w:spacing w:val="-4"/>
          <w:sz w:val="28"/>
          <w:szCs w:val="28"/>
          <w:lang w:val="es-CO"/>
        </w:rPr>
        <w:t>Esta conclusión encuentra respaldo en la jurisprudencia de esta Corporación</w:t>
      </w:r>
      <w:r w:rsidR="00330E13" w:rsidRPr="007E2DCA">
        <w:rPr>
          <w:rFonts w:ascii="Bookman Old Style" w:hAnsi="Bookman Old Style"/>
          <w:spacing w:val="-4"/>
          <w:sz w:val="28"/>
          <w:szCs w:val="28"/>
          <w:lang w:val="es-CO"/>
        </w:rPr>
        <w:t xml:space="preserve">, según la cual, </w:t>
      </w:r>
      <w:r w:rsidRPr="007E2DCA">
        <w:rPr>
          <w:rFonts w:ascii="Bookman Old Style" w:hAnsi="Bookman Old Style"/>
          <w:spacing w:val="-4"/>
          <w:sz w:val="28"/>
          <w:szCs w:val="28"/>
          <w:lang w:val="es-CO"/>
        </w:rPr>
        <w:t>las decisiones adoptadas en ejercicio de la facultad de dirección procesal, orientadas a evitar dilaciones injustificadas y rechazar solicitudes manifiestamente inconducentes, constituyen órdenes de inmediato cumplimiento contra las cuales no procede recurso alguno. Permitir su cuestionamiento mediante los recursos ordinarios contraría los principios de celeridad e inmediación que rigen el sistema acusatorio</w:t>
      </w:r>
      <w:r w:rsidR="00330E13" w:rsidRPr="007E2DCA">
        <w:rPr>
          <w:rStyle w:val="Refdenotaalpie"/>
          <w:rFonts w:ascii="Bookman Old Style" w:hAnsi="Bookman Old Style"/>
          <w:spacing w:val="-4"/>
          <w:sz w:val="28"/>
          <w:szCs w:val="28"/>
          <w:lang w:val="es-CO"/>
        </w:rPr>
        <w:footnoteReference w:id="3"/>
      </w:r>
      <w:r w:rsidRPr="007E2DCA">
        <w:rPr>
          <w:rFonts w:ascii="Bookman Old Style" w:hAnsi="Bookman Old Style"/>
          <w:spacing w:val="-4"/>
          <w:sz w:val="28"/>
          <w:szCs w:val="28"/>
          <w:lang w:val="es-CO"/>
        </w:rPr>
        <w:t xml:space="preserve">. </w:t>
      </w:r>
    </w:p>
    <w:p w14:paraId="40D8547F" w14:textId="77777777" w:rsidR="00F27A2F" w:rsidRPr="007E2DCA" w:rsidRDefault="00F27A2F" w:rsidP="00F27A2F">
      <w:pPr>
        <w:pStyle w:val="Textoindependiente"/>
        <w:spacing w:line="360" w:lineRule="auto"/>
        <w:ind w:firstLine="708"/>
        <w:jc w:val="both"/>
        <w:rPr>
          <w:rFonts w:ascii="Bookman Old Style" w:hAnsi="Bookman Old Style"/>
          <w:spacing w:val="-4"/>
          <w:sz w:val="28"/>
          <w:szCs w:val="28"/>
          <w:lang w:val="es-CO"/>
        </w:rPr>
      </w:pPr>
    </w:p>
    <w:p w14:paraId="36B0AF3B" w14:textId="20FC55F8" w:rsidR="0098603A" w:rsidRPr="007E2DCA" w:rsidRDefault="00330E13" w:rsidP="00FB49CB">
      <w:pPr>
        <w:pStyle w:val="Textoindependiente"/>
        <w:spacing w:after="0" w:line="360" w:lineRule="auto"/>
        <w:ind w:firstLine="708"/>
        <w:jc w:val="both"/>
        <w:rPr>
          <w:rFonts w:ascii="Bookman Old Style" w:hAnsi="Bookman Old Style"/>
          <w:spacing w:val="-4"/>
          <w:sz w:val="28"/>
          <w:szCs w:val="28"/>
        </w:rPr>
      </w:pPr>
      <w:r w:rsidRPr="007E2DCA">
        <w:rPr>
          <w:rFonts w:ascii="Bookman Old Style" w:hAnsi="Bookman Old Style"/>
          <w:spacing w:val="-4"/>
          <w:sz w:val="28"/>
          <w:szCs w:val="28"/>
        </w:rPr>
        <w:t>9</w:t>
      </w:r>
      <w:r w:rsidR="00532E2B" w:rsidRPr="007E2DCA">
        <w:rPr>
          <w:rFonts w:ascii="Bookman Old Style" w:hAnsi="Bookman Old Style"/>
          <w:spacing w:val="-4"/>
          <w:sz w:val="28"/>
          <w:szCs w:val="28"/>
        </w:rPr>
        <w:t>.</w:t>
      </w:r>
      <w:r w:rsidR="00314582" w:rsidRPr="007E2DCA">
        <w:rPr>
          <w:rFonts w:ascii="Bookman Old Style" w:hAnsi="Bookman Old Style"/>
          <w:spacing w:val="-4"/>
          <w:sz w:val="28"/>
          <w:szCs w:val="28"/>
          <w:lang w:val="es-CO"/>
        </w:rPr>
        <w:t xml:space="preserve"> </w:t>
      </w:r>
      <w:r w:rsidR="00317F6A" w:rsidRPr="007E2DCA">
        <w:rPr>
          <w:rFonts w:ascii="Bookman Old Style" w:hAnsi="Bookman Old Style"/>
          <w:spacing w:val="-4"/>
          <w:sz w:val="28"/>
          <w:szCs w:val="28"/>
          <w:lang w:val="es-CO"/>
        </w:rPr>
        <w:t xml:space="preserve">De este modo, la Corte </w:t>
      </w:r>
      <w:r w:rsidR="0098603A" w:rsidRPr="007E2DCA">
        <w:rPr>
          <w:rFonts w:ascii="Bookman Old Style" w:hAnsi="Bookman Old Style"/>
          <w:spacing w:val="-4"/>
          <w:sz w:val="28"/>
          <w:szCs w:val="28"/>
          <w:lang w:val="es-CO"/>
        </w:rPr>
        <w:t xml:space="preserve">encuentra </w:t>
      </w:r>
      <w:r w:rsidR="00317F6A" w:rsidRPr="007E2DCA">
        <w:rPr>
          <w:rFonts w:ascii="Bookman Old Style" w:hAnsi="Bookman Old Style"/>
          <w:spacing w:val="-4"/>
          <w:sz w:val="28"/>
          <w:szCs w:val="28"/>
          <w:lang w:val="es-CO"/>
        </w:rPr>
        <w:t xml:space="preserve">que </w:t>
      </w:r>
      <w:r w:rsidR="0098603A" w:rsidRPr="007E2DCA">
        <w:rPr>
          <w:rFonts w:ascii="Bookman Old Style" w:hAnsi="Bookman Old Style" w:cs="Arial"/>
          <w:bCs/>
          <w:spacing w:val="-4"/>
          <w:sz w:val="28"/>
          <w:szCs w:val="28"/>
        </w:rPr>
        <w:t xml:space="preserve">la decisión del Tribunal de no conceder el recurso de apelación contra la orden emitida el 14 de abril de 2026 estuvo ajustada a derecho. </w:t>
      </w:r>
      <w:r w:rsidR="0098603A" w:rsidRPr="007E2DCA">
        <w:rPr>
          <w:rFonts w:ascii="Bookman Old Style" w:hAnsi="Bookman Old Style"/>
          <w:spacing w:val="-4"/>
          <w:sz w:val="28"/>
          <w:szCs w:val="28"/>
          <w:lang w:val="es-CO"/>
        </w:rPr>
        <w:t>Por este motivo, declarará bien negado el recurso de apelación.</w:t>
      </w:r>
    </w:p>
    <w:p w14:paraId="3BC4E97A" w14:textId="77777777" w:rsidR="00217429" w:rsidRPr="007E2DCA" w:rsidRDefault="00217429" w:rsidP="00237BC9">
      <w:pPr>
        <w:spacing w:after="0" w:line="360" w:lineRule="auto"/>
        <w:ind w:firstLine="708"/>
        <w:jc w:val="both"/>
        <w:rPr>
          <w:rFonts w:ascii="Bookman Old Style" w:eastAsia="Times New Roman" w:hAnsi="Bookman Old Style" w:cs="Times New Roman"/>
          <w:spacing w:val="-4"/>
          <w:sz w:val="28"/>
          <w:szCs w:val="28"/>
          <w:lang w:val="es-ES_tradnl"/>
        </w:rPr>
      </w:pPr>
    </w:p>
    <w:p w14:paraId="7D2809C8" w14:textId="77777777" w:rsidR="001B2CE5" w:rsidRPr="007E2DCA" w:rsidRDefault="001B2CE5" w:rsidP="00237BC9">
      <w:pPr>
        <w:pStyle w:val="paragraph"/>
        <w:spacing w:before="0" w:beforeAutospacing="0" w:after="0" w:afterAutospacing="0" w:line="360" w:lineRule="auto"/>
        <w:jc w:val="center"/>
        <w:textAlignment w:val="baseline"/>
        <w:rPr>
          <w:rStyle w:val="normaltextrun"/>
          <w:rFonts w:ascii="Bookman Old Style" w:eastAsiaTheme="majorEastAsia" w:hAnsi="Bookman Old Style" w:cs="Segoe UI"/>
          <w:b/>
          <w:bCs/>
          <w:spacing w:val="-4"/>
          <w:sz w:val="28"/>
          <w:szCs w:val="28"/>
          <w:lang w:val="es-ES_tradnl"/>
        </w:rPr>
      </w:pPr>
      <w:r w:rsidRPr="007E2DCA">
        <w:rPr>
          <w:rStyle w:val="normaltextrun"/>
          <w:rFonts w:ascii="Bookman Old Style" w:eastAsiaTheme="majorEastAsia" w:hAnsi="Bookman Old Style" w:cs="Segoe UI"/>
          <w:b/>
          <w:bCs/>
          <w:spacing w:val="-4"/>
          <w:sz w:val="28"/>
          <w:szCs w:val="28"/>
          <w:lang w:val="es-ES_tradnl"/>
        </w:rPr>
        <w:t>IV. DECISIÓN</w:t>
      </w:r>
    </w:p>
    <w:p w14:paraId="040C419C" w14:textId="77777777" w:rsidR="001B2CE5" w:rsidRPr="007E2DCA" w:rsidRDefault="001B2CE5" w:rsidP="001D4E17">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653DAC33" w14:textId="77777777" w:rsidR="001B2CE5" w:rsidRPr="007E2DCA" w:rsidRDefault="001B2CE5" w:rsidP="001D4E17">
      <w:pPr>
        <w:spacing w:after="0" w:line="360" w:lineRule="auto"/>
        <w:ind w:firstLine="708"/>
        <w:jc w:val="both"/>
        <w:rPr>
          <w:rFonts w:ascii="Bookman Old Style" w:eastAsia="Times New Roman" w:hAnsi="Bookman Old Style" w:cs="Times New Roman"/>
          <w:spacing w:val="-4"/>
          <w:sz w:val="28"/>
          <w:szCs w:val="28"/>
          <w:lang w:val="es-ES_tradnl" w:eastAsia="es-ES"/>
        </w:rPr>
      </w:pPr>
      <w:r w:rsidRPr="007E2DCA">
        <w:rPr>
          <w:rFonts w:ascii="Bookman Old Style" w:eastAsia="Times New Roman" w:hAnsi="Bookman Old Style" w:cs="Times New Roman"/>
          <w:spacing w:val="-4"/>
          <w:sz w:val="28"/>
          <w:szCs w:val="28"/>
          <w:lang w:val="es-ES_tradnl" w:eastAsia="es-ES"/>
        </w:rPr>
        <w:t>Por lo expuesto, la Corte Suprema de Justicia, Sala de Casación Penal,</w:t>
      </w:r>
    </w:p>
    <w:p w14:paraId="0A041904" w14:textId="77777777" w:rsidR="001B2CE5" w:rsidRDefault="001B2CE5" w:rsidP="001D4E17">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4E6F6763" w14:textId="77777777" w:rsidR="007E2DCA" w:rsidRDefault="007E2DCA" w:rsidP="001D4E17">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40240693" w14:textId="77777777" w:rsidR="007E2DCA" w:rsidRDefault="007E2DCA" w:rsidP="001D4E17">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11A25D6D" w14:textId="77777777" w:rsidR="007E2DCA" w:rsidRPr="007E2DCA" w:rsidRDefault="007E2DCA" w:rsidP="001D4E17">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5A4064ED" w14:textId="77777777" w:rsidR="001B2CE5" w:rsidRPr="007E2DCA" w:rsidRDefault="001B2CE5" w:rsidP="001D4E17">
      <w:pPr>
        <w:spacing w:after="0" w:line="360" w:lineRule="auto"/>
        <w:jc w:val="center"/>
        <w:rPr>
          <w:rFonts w:ascii="Bookman Old Style" w:eastAsia="Times New Roman" w:hAnsi="Bookman Old Style" w:cs="Times New Roman"/>
          <w:spacing w:val="-4"/>
          <w:sz w:val="28"/>
          <w:szCs w:val="28"/>
          <w:lang w:val="es-ES_tradnl" w:eastAsia="x-none"/>
        </w:rPr>
      </w:pPr>
      <w:r w:rsidRPr="007E2DCA">
        <w:rPr>
          <w:rFonts w:ascii="Bookman Old Style" w:hAnsi="Bookman Old Style" w:cs="Arial"/>
          <w:b/>
          <w:bCs/>
          <w:spacing w:val="-4"/>
          <w:sz w:val="28"/>
          <w:szCs w:val="28"/>
          <w:lang w:val="es-ES_tradnl"/>
        </w:rPr>
        <w:lastRenderedPageBreak/>
        <w:t>RESUELVE:</w:t>
      </w:r>
    </w:p>
    <w:p w14:paraId="736CB3F5" w14:textId="77777777" w:rsidR="001B2CE5" w:rsidRPr="007E2DCA" w:rsidRDefault="001B2CE5" w:rsidP="001D4E17">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45C980E0" w14:textId="7DA11DB5" w:rsidR="00333514" w:rsidRPr="007E2DCA" w:rsidRDefault="00333514" w:rsidP="00333514">
      <w:pPr>
        <w:spacing w:after="0" w:line="360" w:lineRule="auto"/>
        <w:ind w:firstLine="708"/>
        <w:jc w:val="both"/>
        <w:rPr>
          <w:rFonts w:ascii="Bookman Old Style" w:eastAsia="Calibri" w:hAnsi="Bookman Old Style"/>
          <w:spacing w:val="-4"/>
          <w:sz w:val="28"/>
          <w:szCs w:val="28"/>
          <w:lang w:bidi="es-ES"/>
        </w:rPr>
      </w:pPr>
      <w:r w:rsidRPr="007E2DCA">
        <w:rPr>
          <w:rFonts w:ascii="Bookman Old Style" w:eastAsia="Calibri" w:hAnsi="Bookman Old Style" w:cs="Helvetica"/>
          <w:b/>
          <w:spacing w:val="-4"/>
          <w:sz w:val="28"/>
          <w:szCs w:val="28"/>
        </w:rPr>
        <w:t>Primero.</w:t>
      </w:r>
      <w:r w:rsidRPr="007E2DCA">
        <w:rPr>
          <w:rFonts w:ascii="Bookman Old Style" w:eastAsia="Calibri" w:hAnsi="Bookman Old Style" w:cs="Helvetica"/>
          <w:spacing w:val="-4"/>
          <w:sz w:val="28"/>
          <w:szCs w:val="28"/>
        </w:rPr>
        <w:t xml:space="preserve"> </w:t>
      </w:r>
      <w:r w:rsidR="007127D7" w:rsidRPr="007E2DCA">
        <w:rPr>
          <w:rFonts w:ascii="Bookman Old Style" w:eastAsia="Calibri" w:hAnsi="Bookman Old Style" w:cs="Helvetica"/>
          <w:b/>
          <w:bCs/>
          <w:spacing w:val="-4"/>
          <w:sz w:val="28"/>
          <w:szCs w:val="28"/>
        </w:rPr>
        <w:t xml:space="preserve">Declara bien denegada </w:t>
      </w:r>
      <w:r w:rsidR="007127D7" w:rsidRPr="007E2DCA">
        <w:rPr>
          <w:rFonts w:ascii="Bookman Old Style" w:eastAsia="Calibri" w:hAnsi="Bookman Old Style" w:cs="Helvetica"/>
          <w:spacing w:val="-4"/>
          <w:sz w:val="28"/>
          <w:szCs w:val="28"/>
        </w:rPr>
        <w:t xml:space="preserve">la determinación </w:t>
      </w:r>
      <w:r w:rsidR="00E1187B" w:rsidRPr="007E2DCA">
        <w:rPr>
          <w:rFonts w:ascii="Bookman Old Style" w:eastAsia="Calibri" w:hAnsi="Bookman Old Style" w:cs="Helvetica"/>
          <w:spacing w:val="-4"/>
          <w:sz w:val="28"/>
          <w:szCs w:val="28"/>
        </w:rPr>
        <w:t xml:space="preserve">de </w:t>
      </w:r>
      <w:r w:rsidR="007127D7" w:rsidRPr="007E2DCA">
        <w:rPr>
          <w:rFonts w:ascii="Bookman Old Style" w:hAnsi="Bookman Old Style"/>
          <w:spacing w:val="-4"/>
          <w:sz w:val="28"/>
          <w:szCs w:val="28"/>
          <w:lang w:val="es-ES_tradnl"/>
        </w:rPr>
        <w:t xml:space="preserve">la Sala Penal del Tribunal Superior de Villavicencio </w:t>
      </w:r>
      <w:r w:rsidR="007127D7" w:rsidRPr="007E2DCA">
        <w:rPr>
          <w:rFonts w:ascii="Bookman Old Style" w:eastAsia="Calibri" w:hAnsi="Bookman Old Style" w:cs="Helvetica"/>
          <w:spacing w:val="-4"/>
          <w:sz w:val="28"/>
          <w:szCs w:val="28"/>
        </w:rPr>
        <w:t xml:space="preserve">de no conceder el recurso de apelación, </w:t>
      </w:r>
      <w:r w:rsidR="007127D7" w:rsidRPr="007E2DCA">
        <w:rPr>
          <w:rFonts w:ascii="Bookman Old Style" w:hAnsi="Bookman Old Style"/>
          <w:spacing w:val="-4"/>
          <w:sz w:val="28"/>
          <w:szCs w:val="28"/>
          <w:lang w:val="es-ES_tradnl"/>
        </w:rPr>
        <w:t xml:space="preserve">contra la orden </w:t>
      </w:r>
      <w:r w:rsidR="0098603A" w:rsidRPr="007E2DCA">
        <w:rPr>
          <w:rFonts w:ascii="Bookman Old Style" w:eastAsia="Calibri" w:hAnsi="Bookman Old Style" w:cs="Helvetica"/>
          <w:spacing w:val="-4"/>
          <w:sz w:val="28"/>
          <w:szCs w:val="28"/>
        </w:rPr>
        <w:t>d</w:t>
      </w:r>
      <w:r w:rsidR="0098603A" w:rsidRPr="007E2DCA">
        <w:rPr>
          <w:rFonts w:ascii="Bookman Old Style" w:hAnsi="Bookman Old Style"/>
          <w:spacing w:val="-4"/>
          <w:sz w:val="28"/>
          <w:szCs w:val="28"/>
          <w:lang w:val="es-ES_tradnl"/>
        </w:rPr>
        <w:t xml:space="preserve">el </w:t>
      </w:r>
      <w:r w:rsidR="0098603A" w:rsidRPr="007E2DCA">
        <w:rPr>
          <w:rFonts w:ascii="Bookman Old Style" w:hAnsi="Bookman Old Style"/>
          <w:spacing w:val="-4"/>
          <w:sz w:val="28"/>
          <w:szCs w:val="28"/>
        </w:rPr>
        <w:t xml:space="preserve">14 de abril de 2026 </w:t>
      </w:r>
      <w:r w:rsidRPr="007E2DCA">
        <w:rPr>
          <w:rFonts w:ascii="Bookman Old Style" w:eastAsia="Calibri" w:hAnsi="Bookman Old Style"/>
          <w:spacing w:val="-4"/>
          <w:sz w:val="28"/>
          <w:szCs w:val="28"/>
          <w:lang w:bidi="es-ES"/>
        </w:rPr>
        <w:t xml:space="preserve">que negó separar de la actuación </w:t>
      </w:r>
      <w:r w:rsidR="00F16050" w:rsidRPr="007E2DCA">
        <w:rPr>
          <w:rFonts w:ascii="Bookman Old Style" w:eastAsia="Calibri" w:hAnsi="Bookman Old Style"/>
          <w:spacing w:val="-4"/>
          <w:sz w:val="28"/>
          <w:szCs w:val="28"/>
          <w:lang w:bidi="es-ES"/>
        </w:rPr>
        <w:t xml:space="preserve">al abogado </w:t>
      </w:r>
      <w:r w:rsidR="0098603A" w:rsidRPr="007E2DCA">
        <w:rPr>
          <w:rFonts w:ascii="Bookman Old Style" w:eastAsia="Calibri" w:hAnsi="Bookman Old Style"/>
          <w:spacing w:val="-4"/>
          <w:sz w:val="28"/>
          <w:szCs w:val="28"/>
          <w:lang w:bidi="es-ES"/>
        </w:rPr>
        <w:t>que</w:t>
      </w:r>
      <w:r w:rsidR="00F16050" w:rsidRPr="007E2DCA">
        <w:rPr>
          <w:rFonts w:ascii="Bookman Old Style" w:eastAsia="Calibri" w:hAnsi="Bookman Old Style"/>
          <w:spacing w:val="-4"/>
          <w:sz w:val="28"/>
          <w:szCs w:val="28"/>
          <w:lang w:bidi="es-ES"/>
        </w:rPr>
        <w:t xml:space="preserve"> ejerce la defensa de </w:t>
      </w:r>
      <w:r w:rsidR="00F16050" w:rsidRPr="007E2DCA">
        <w:rPr>
          <w:rFonts w:ascii="Bookman Old Style" w:hAnsi="Bookman Old Style" w:cs="Arial"/>
          <w:smallCaps/>
          <w:spacing w:val="-4"/>
          <w:sz w:val="28"/>
          <w:szCs w:val="28"/>
          <w:lang w:val="es-ES"/>
        </w:rPr>
        <w:t>Claudia Melissa García Luna.</w:t>
      </w:r>
    </w:p>
    <w:p w14:paraId="5E61E0B9" w14:textId="77777777" w:rsidR="00333514" w:rsidRPr="007E2DCA" w:rsidRDefault="00333514" w:rsidP="00333514">
      <w:pPr>
        <w:spacing w:after="0" w:line="360" w:lineRule="auto"/>
        <w:ind w:firstLine="708"/>
        <w:jc w:val="both"/>
        <w:rPr>
          <w:rFonts w:ascii="Bookman Old Style" w:eastAsia="Calibri" w:hAnsi="Bookman Old Style"/>
          <w:spacing w:val="-4"/>
          <w:sz w:val="28"/>
          <w:szCs w:val="28"/>
        </w:rPr>
      </w:pPr>
    </w:p>
    <w:p w14:paraId="6BF700C1" w14:textId="77777777" w:rsidR="00333514" w:rsidRPr="007E2DCA" w:rsidRDefault="00333514" w:rsidP="00333514">
      <w:pPr>
        <w:spacing w:after="0" w:line="360" w:lineRule="auto"/>
        <w:ind w:firstLine="720"/>
        <w:jc w:val="both"/>
        <w:rPr>
          <w:rFonts w:ascii="Bookman Old Style" w:eastAsia="Calibri" w:hAnsi="Bookman Old Style"/>
          <w:bCs/>
          <w:spacing w:val="-4"/>
          <w:sz w:val="28"/>
          <w:szCs w:val="28"/>
        </w:rPr>
      </w:pPr>
      <w:r w:rsidRPr="007E2DCA">
        <w:rPr>
          <w:rFonts w:ascii="Bookman Old Style" w:eastAsia="Calibri" w:hAnsi="Bookman Old Style"/>
          <w:b/>
          <w:spacing w:val="-4"/>
          <w:sz w:val="28"/>
          <w:szCs w:val="28"/>
        </w:rPr>
        <w:t xml:space="preserve">Segundo. Devolver </w:t>
      </w:r>
      <w:r w:rsidRPr="007E2DCA">
        <w:rPr>
          <w:rFonts w:ascii="Bookman Old Style" w:eastAsia="Calibri" w:hAnsi="Bookman Old Style"/>
          <w:bCs/>
          <w:spacing w:val="-4"/>
          <w:sz w:val="28"/>
          <w:szCs w:val="28"/>
        </w:rPr>
        <w:t>inmediatamente la actuación al Tribunal de origen.</w:t>
      </w:r>
    </w:p>
    <w:p w14:paraId="349FCE67" w14:textId="77777777" w:rsidR="00333514" w:rsidRPr="007E2DCA" w:rsidRDefault="00333514" w:rsidP="00333514">
      <w:pPr>
        <w:spacing w:after="0" w:line="360" w:lineRule="auto"/>
        <w:ind w:firstLine="720"/>
        <w:jc w:val="both"/>
        <w:rPr>
          <w:rFonts w:ascii="Bookman Old Style" w:eastAsia="Calibri" w:hAnsi="Bookman Old Style"/>
          <w:bCs/>
          <w:spacing w:val="-4"/>
          <w:sz w:val="28"/>
          <w:szCs w:val="28"/>
        </w:rPr>
      </w:pPr>
    </w:p>
    <w:p w14:paraId="7DE4ED5C" w14:textId="77777777" w:rsidR="00333514" w:rsidRPr="007E2DCA" w:rsidRDefault="00333514" w:rsidP="00333514">
      <w:pPr>
        <w:spacing w:after="0" w:line="360" w:lineRule="auto"/>
        <w:ind w:firstLine="708"/>
        <w:jc w:val="both"/>
        <w:rPr>
          <w:rFonts w:ascii="Bookman Old Style" w:eastAsia="Times New Roman" w:hAnsi="Bookman Old Style" w:cs="Times New Roman"/>
          <w:spacing w:val="-4"/>
          <w:sz w:val="28"/>
          <w:szCs w:val="28"/>
          <w:lang w:val="es-ES_tradnl" w:eastAsia="x-none"/>
        </w:rPr>
      </w:pPr>
      <w:r w:rsidRPr="007E2DCA">
        <w:rPr>
          <w:rFonts w:ascii="Bookman Old Style" w:eastAsia="Times New Roman" w:hAnsi="Bookman Old Style" w:cs="Times New Roman"/>
          <w:b/>
          <w:spacing w:val="-4"/>
          <w:sz w:val="28"/>
          <w:szCs w:val="28"/>
          <w:lang w:val="es-ES_tradnl" w:eastAsia="x-none"/>
        </w:rPr>
        <w:t>Tercero.</w:t>
      </w:r>
      <w:r w:rsidRPr="007E2DCA">
        <w:rPr>
          <w:rFonts w:ascii="Bookman Old Style" w:eastAsia="Times New Roman" w:hAnsi="Bookman Old Style" w:cs="Times New Roman"/>
          <w:spacing w:val="-4"/>
          <w:sz w:val="28"/>
          <w:szCs w:val="28"/>
          <w:lang w:val="es-ES_tradnl" w:eastAsia="x-none"/>
        </w:rPr>
        <w:t xml:space="preserve"> </w:t>
      </w:r>
      <w:r w:rsidRPr="007E2DCA">
        <w:rPr>
          <w:rFonts w:ascii="Bookman Old Style" w:eastAsia="Times New Roman" w:hAnsi="Bookman Old Style" w:cs="Times New Roman"/>
          <w:b/>
          <w:bCs/>
          <w:spacing w:val="-4"/>
          <w:sz w:val="28"/>
          <w:szCs w:val="28"/>
          <w:lang w:val="es-ES_tradnl" w:eastAsia="x-none"/>
        </w:rPr>
        <w:t>Informar</w:t>
      </w:r>
      <w:r w:rsidRPr="007E2DCA">
        <w:rPr>
          <w:rFonts w:ascii="Bookman Old Style" w:eastAsia="Times New Roman" w:hAnsi="Bookman Old Style" w:cs="Times New Roman"/>
          <w:spacing w:val="-4"/>
          <w:sz w:val="28"/>
          <w:szCs w:val="28"/>
          <w:lang w:val="es-ES_tradnl" w:eastAsia="x-none"/>
        </w:rPr>
        <w:t xml:space="preserve"> </w:t>
      </w:r>
      <w:r w:rsidRPr="007E2DCA">
        <w:rPr>
          <w:rFonts w:ascii="Bookman Old Style" w:hAnsi="Bookman Old Style"/>
          <w:spacing w:val="-4"/>
          <w:sz w:val="28"/>
          <w:szCs w:val="28"/>
          <w:lang w:eastAsia="es-ES"/>
        </w:rPr>
        <w:t>de esta decisión a todos los intervinientes en este trámite procesal.</w:t>
      </w:r>
    </w:p>
    <w:p w14:paraId="5272EF5C" w14:textId="77777777" w:rsidR="00333514" w:rsidRPr="007E2DCA" w:rsidRDefault="00333514" w:rsidP="00333514">
      <w:pPr>
        <w:spacing w:after="0" w:line="360" w:lineRule="auto"/>
        <w:ind w:firstLine="708"/>
        <w:jc w:val="both"/>
        <w:rPr>
          <w:rFonts w:ascii="Bookman Old Style" w:eastAsia="Times New Roman" w:hAnsi="Bookman Old Style" w:cs="Times New Roman"/>
          <w:spacing w:val="-4"/>
          <w:sz w:val="28"/>
          <w:szCs w:val="28"/>
          <w:lang w:val="es-ES_tradnl" w:eastAsia="x-none"/>
        </w:rPr>
      </w:pPr>
    </w:p>
    <w:p w14:paraId="1E558FE4" w14:textId="77777777" w:rsidR="00333514" w:rsidRPr="007E2DCA" w:rsidRDefault="00333514" w:rsidP="00333514">
      <w:pPr>
        <w:spacing w:after="0" w:line="360" w:lineRule="auto"/>
        <w:ind w:firstLine="708"/>
        <w:jc w:val="both"/>
        <w:rPr>
          <w:rFonts w:ascii="Bookman Old Style" w:eastAsia="Times New Roman" w:hAnsi="Bookman Old Style" w:cs="Times New Roman"/>
          <w:spacing w:val="-4"/>
          <w:sz w:val="28"/>
          <w:szCs w:val="28"/>
          <w:lang w:val="es-ES" w:eastAsia="es-ES"/>
        </w:rPr>
      </w:pPr>
      <w:r w:rsidRPr="007E2DCA">
        <w:rPr>
          <w:rFonts w:ascii="Bookman Old Style" w:eastAsia="Times New Roman" w:hAnsi="Bookman Old Style" w:cs="Times New Roman"/>
          <w:b/>
          <w:bCs/>
          <w:spacing w:val="-4"/>
          <w:sz w:val="28"/>
          <w:szCs w:val="28"/>
          <w:lang w:val="es-ES_tradnl" w:eastAsia="x-none"/>
        </w:rPr>
        <w:t>Cuarto.</w:t>
      </w:r>
      <w:r w:rsidRPr="007E2DCA">
        <w:rPr>
          <w:rFonts w:ascii="Bookman Old Style" w:eastAsia="Times New Roman" w:hAnsi="Bookman Old Style" w:cs="Times New Roman"/>
          <w:spacing w:val="-4"/>
          <w:sz w:val="28"/>
          <w:szCs w:val="28"/>
          <w:lang w:val="es-ES_tradnl" w:eastAsia="x-none"/>
        </w:rPr>
        <w:t xml:space="preserve"> </w:t>
      </w:r>
      <w:r w:rsidRPr="007E2DCA">
        <w:rPr>
          <w:rFonts w:ascii="Bookman Old Style" w:eastAsia="Times New Roman" w:hAnsi="Bookman Old Style" w:cs="Times New Roman"/>
          <w:spacing w:val="-4"/>
          <w:sz w:val="28"/>
          <w:szCs w:val="28"/>
          <w:lang w:val="es-ES" w:eastAsia="es-ES"/>
        </w:rPr>
        <w:t>Contra esta decisión no procede ningún recurso.</w:t>
      </w:r>
    </w:p>
    <w:p w14:paraId="6EE6447C" w14:textId="77777777" w:rsidR="001B2CE5" w:rsidRPr="007E2DCA" w:rsidRDefault="001B2CE5" w:rsidP="001D4E17">
      <w:pPr>
        <w:spacing w:after="0" w:line="360" w:lineRule="auto"/>
        <w:ind w:firstLine="708"/>
        <w:jc w:val="both"/>
        <w:rPr>
          <w:rFonts w:ascii="Bookman Old Style" w:eastAsia="Times New Roman" w:hAnsi="Bookman Old Style" w:cs="Times New Roman"/>
          <w:b/>
          <w:bCs/>
          <w:spacing w:val="-4"/>
          <w:sz w:val="28"/>
          <w:szCs w:val="28"/>
          <w:lang w:val="es-ES_tradnl" w:eastAsia="x-none"/>
        </w:rPr>
      </w:pPr>
    </w:p>
    <w:p w14:paraId="12DE4EDF" w14:textId="77777777" w:rsidR="001B2CE5" w:rsidRPr="007021C0" w:rsidRDefault="001B2CE5" w:rsidP="001D4E17">
      <w:pPr>
        <w:spacing w:after="0" w:line="360" w:lineRule="auto"/>
        <w:jc w:val="center"/>
        <w:rPr>
          <w:rFonts w:ascii="Bookman Old Style" w:hAnsi="Bookman Old Style" w:cs="Arial"/>
          <w:b/>
          <w:spacing w:val="-4"/>
          <w:sz w:val="28"/>
          <w:szCs w:val="28"/>
          <w:lang w:val="es-ES_tradnl"/>
        </w:rPr>
      </w:pPr>
      <w:r w:rsidRPr="007E2DCA">
        <w:rPr>
          <w:rFonts w:ascii="Bookman Old Style" w:hAnsi="Bookman Old Style" w:cs="Arial"/>
          <w:b/>
          <w:spacing w:val="-4"/>
          <w:sz w:val="28"/>
          <w:szCs w:val="28"/>
          <w:lang w:val="es-ES_tradnl"/>
        </w:rPr>
        <w:t>NOTIFÍQUESE Y CÚMPLASE,</w:t>
      </w:r>
    </w:p>
    <w:sectPr w:rsidR="001B2CE5" w:rsidRPr="007021C0" w:rsidSect="001B2CE5">
      <w:headerReference w:type="even" r:id="rId8"/>
      <w:headerReference w:type="default" r:id="rId9"/>
      <w:footerReference w:type="even" r:id="rId10"/>
      <w:footerReference w:type="default" r:id="rId11"/>
      <w:headerReference w:type="first" r:id="rId12"/>
      <w:footerReference w:type="first" r:id="rId13"/>
      <w:pgSz w:w="12242" w:h="18722" w:code="14"/>
      <w:pgMar w:top="2268" w:right="1701" w:bottom="1701" w:left="2268" w:header="1134"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7CF5A" w14:textId="77777777" w:rsidR="00EF464C" w:rsidRDefault="00EF464C" w:rsidP="001B2CE5">
      <w:pPr>
        <w:spacing w:after="0" w:line="240" w:lineRule="auto"/>
      </w:pPr>
      <w:r>
        <w:separator/>
      </w:r>
    </w:p>
  </w:endnote>
  <w:endnote w:type="continuationSeparator" w:id="0">
    <w:p w14:paraId="7FE6ADA3" w14:textId="77777777" w:rsidR="00EF464C" w:rsidRDefault="00EF464C" w:rsidP="001B2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B2C2" w14:textId="77777777" w:rsidR="001B2CE5" w:rsidRDefault="001B2CE5" w:rsidP="0016545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966EE7" w14:textId="77777777" w:rsidR="001B2CE5" w:rsidRDefault="001B2CE5" w:rsidP="0016545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BCCFC" w14:textId="77777777" w:rsidR="001B2CE5" w:rsidRPr="00D13CC5" w:rsidRDefault="001B2CE5" w:rsidP="0016545C">
    <w:pPr>
      <w:pStyle w:val="Piedepgina"/>
      <w:framePr w:wrap="around" w:vAnchor="text" w:hAnchor="margin" w:xAlign="right" w:y="1"/>
      <w:rPr>
        <w:rStyle w:val="Nmerodepgina"/>
        <w:rFonts w:ascii="Bookman Old Style" w:hAnsi="Bookman Old Style"/>
        <w:sz w:val="20"/>
        <w:szCs w:val="20"/>
      </w:rPr>
    </w:pPr>
    <w:r w:rsidRPr="00D13CC5">
      <w:rPr>
        <w:rStyle w:val="Nmerodepgina"/>
        <w:rFonts w:ascii="Bookman Old Style" w:hAnsi="Bookman Old Style"/>
        <w:sz w:val="20"/>
        <w:szCs w:val="20"/>
      </w:rPr>
      <w:fldChar w:fldCharType="begin"/>
    </w:r>
    <w:r w:rsidRPr="00D13CC5">
      <w:rPr>
        <w:rStyle w:val="Nmerodepgina"/>
        <w:rFonts w:ascii="Bookman Old Style" w:hAnsi="Bookman Old Style"/>
        <w:sz w:val="20"/>
        <w:szCs w:val="20"/>
      </w:rPr>
      <w:instrText xml:space="preserve">PAGE  </w:instrText>
    </w:r>
    <w:r w:rsidRPr="00D13CC5">
      <w:rPr>
        <w:rStyle w:val="Nmerodepgina"/>
        <w:rFonts w:ascii="Bookman Old Style" w:hAnsi="Bookman Old Style"/>
        <w:sz w:val="20"/>
        <w:szCs w:val="20"/>
      </w:rPr>
      <w:fldChar w:fldCharType="separate"/>
    </w:r>
    <w:r>
      <w:rPr>
        <w:rStyle w:val="Nmerodepgina"/>
        <w:rFonts w:ascii="Bookman Old Style" w:hAnsi="Bookman Old Style"/>
        <w:noProof/>
        <w:sz w:val="20"/>
        <w:szCs w:val="20"/>
      </w:rPr>
      <w:t>11</w:t>
    </w:r>
    <w:r w:rsidRPr="00D13CC5">
      <w:rPr>
        <w:rStyle w:val="Nmerodepgina"/>
        <w:rFonts w:ascii="Bookman Old Style" w:hAnsi="Bookman Old Style"/>
        <w:sz w:val="20"/>
        <w:szCs w:val="20"/>
      </w:rPr>
      <w:fldChar w:fldCharType="end"/>
    </w:r>
  </w:p>
  <w:p w14:paraId="4D83A887" w14:textId="4B95122D" w:rsidR="001B2CE5" w:rsidRPr="00D13CC5" w:rsidRDefault="001B2CE5" w:rsidP="0016545C">
    <w:pPr>
      <w:pStyle w:val="Piedepgina"/>
      <w:ind w:right="360"/>
      <w:rPr>
        <w:rFonts w:ascii="Bookman Old Style" w:hAnsi="Bookman Old Styl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B029" w14:textId="77777777" w:rsidR="001B2CE5" w:rsidRPr="001D208C" w:rsidRDefault="001B2CE5" w:rsidP="0016545C">
    <w:pPr>
      <w:pStyle w:val="Texto"/>
      <w:spacing w:after="0" w:line="240" w:lineRule="auto"/>
      <w:ind w:left="0"/>
      <w:jc w:val="left"/>
      <w:rPr>
        <w:rFonts w:ascii="Helvetica" w:hAnsi="Helvetica" w:cs="Garamond"/>
        <w:sz w:val="16"/>
        <w:szCs w:val="16"/>
        <w:lang w:val="es-CO"/>
      </w:rPr>
    </w:pPr>
  </w:p>
  <w:p w14:paraId="6FACF3D3" w14:textId="77777777" w:rsidR="001B2CE5" w:rsidRDefault="001B2C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2EB3" w14:textId="77777777" w:rsidR="00EF464C" w:rsidRDefault="00EF464C" w:rsidP="001B2CE5">
      <w:pPr>
        <w:spacing w:after="0" w:line="240" w:lineRule="auto"/>
      </w:pPr>
      <w:r>
        <w:separator/>
      </w:r>
    </w:p>
  </w:footnote>
  <w:footnote w:type="continuationSeparator" w:id="0">
    <w:p w14:paraId="32A50B7B" w14:textId="77777777" w:rsidR="00EF464C" w:rsidRDefault="00EF464C" w:rsidP="001B2CE5">
      <w:pPr>
        <w:spacing w:after="0" w:line="240" w:lineRule="auto"/>
      </w:pPr>
      <w:r>
        <w:continuationSeparator/>
      </w:r>
    </w:p>
  </w:footnote>
  <w:footnote w:id="1">
    <w:p w14:paraId="648DE88A" w14:textId="77777777" w:rsidR="001B2CE5" w:rsidRPr="00065153" w:rsidRDefault="001B2CE5" w:rsidP="00EB2D84">
      <w:pPr>
        <w:pStyle w:val="Default"/>
        <w:jc w:val="both"/>
        <w:rPr>
          <w:sz w:val="20"/>
          <w:szCs w:val="20"/>
          <w:lang w:val="es-ES"/>
        </w:rPr>
      </w:pPr>
      <w:r w:rsidRPr="00065153">
        <w:rPr>
          <w:rStyle w:val="Refdenotaalpie"/>
          <w:sz w:val="20"/>
          <w:szCs w:val="20"/>
        </w:rPr>
        <w:footnoteRef/>
      </w:r>
      <w:r w:rsidRPr="00065153">
        <w:rPr>
          <w:sz w:val="20"/>
          <w:szCs w:val="20"/>
          <w:lang w:val="es-ES"/>
        </w:rPr>
        <w:t xml:space="preserve"> CSJ AP2065-2021.</w:t>
      </w:r>
    </w:p>
  </w:footnote>
  <w:footnote w:id="2">
    <w:p w14:paraId="331EDE36" w14:textId="77777777" w:rsidR="001B2CE5" w:rsidRPr="00065153" w:rsidRDefault="001B2CE5" w:rsidP="00EB2D84">
      <w:pPr>
        <w:pStyle w:val="Default"/>
        <w:jc w:val="both"/>
        <w:rPr>
          <w:sz w:val="20"/>
          <w:szCs w:val="20"/>
          <w:lang w:val="es-ES"/>
        </w:rPr>
      </w:pPr>
      <w:r w:rsidRPr="00065153">
        <w:rPr>
          <w:rStyle w:val="Refdenotaalpie"/>
          <w:sz w:val="20"/>
          <w:szCs w:val="20"/>
        </w:rPr>
        <w:footnoteRef/>
      </w:r>
      <w:r w:rsidRPr="00065153">
        <w:rPr>
          <w:sz w:val="20"/>
          <w:szCs w:val="20"/>
          <w:lang w:val="es-ES"/>
        </w:rPr>
        <w:t xml:space="preserve"> CSJ AP2795-2020 y AP5310-2022.</w:t>
      </w:r>
    </w:p>
  </w:footnote>
  <w:footnote w:id="3">
    <w:p w14:paraId="1BFD6483" w14:textId="60337AF9" w:rsidR="00330E13" w:rsidRPr="005D58E4" w:rsidRDefault="00330E13">
      <w:pPr>
        <w:pStyle w:val="Textonotapie"/>
        <w:rPr>
          <w:rFonts w:ascii="Bookman Old Style" w:hAnsi="Bookman Old Style"/>
          <w:lang w:val="es-MX"/>
        </w:rPr>
      </w:pPr>
      <w:r w:rsidRPr="00065153">
        <w:rPr>
          <w:rStyle w:val="Refdenotaalpie"/>
          <w:rFonts w:ascii="Bookman Old Style" w:hAnsi="Bookman Old Style"/>
        </w:rPr>
        <w:footnoteRef/>
      </w:r>
      <w:r w:rsidRPr="00065153">
        <w:rPr>
          <w:rFonts w:ascii="Bookman Old Style" w:hAnsi="Bookman Old Style"/>
        </w:rPr>
        <w:t xml:space="preserve"> A</w:t>
      </w:r>
      <w:r w:rsidRPr="00065153">
        <w:rPr>
          <w:rFonts w:ascii="Bookman Old Style" w:eastAsia="Times New Roman" w:hAnsi="Bookman Old Style" w:cs="Times New Roman"/>
          <w:spacing w:val="-4"/>
        </w:rPr>
        <w:t>uto AP507-2026, rad. 71550, 4 feb. 2026.</w:t>
      </w:r>
      <w:r>
        <w:rPr>
          <w:rFonts w:ascii="Bookman Old Style" w:eastAsia="Times New Roman" w:hAnsi="Bookman Old Style" w:cs="Times New Roman"/>
          <w:spacing w:val="-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439B" w14:textId="77777777" w:rsidR="001B2CE5" w:rsidRDefault="001B2CE5">
    <w:pPr>
      <w:pStyle w:val="Encabezado"/>
    </w:pPr>
    <w:r>
      <w:rPr>
        <w:noProof/>
        <w:lang w:val="en-US"/>
      </w:rPr>
      <w:drawing>
        <wp:anchor distT="0" distB="0" distL="114300" distR="114300" simplePos="0" relativeHeight="251658752" behindDoc="1" locked="0" layoutInCell="0" allowOverlap="1" wp14:anchorId="01292019" wp14:editId="21C102D3">
          <wp:simplePos x="0" y="0"/>
          <wp:positionH relativeFrom="margin">
            <wp:align>center</wp:align>
          </wp:positionH>
          <wp:positionV relativeFrom="margin">
            <wp:align>center</wp:align>
          </wp:positionV>
          <wp:extent cx="5252085" cy="3208655"/>
          <wp:effectExtent l="0" t="0" r="5715" b="0"/>
          <wp:wrapNone/>
          <wp:docPr id="4" name="Imagen 4" descr="marca de agu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 de agua 2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2085" cy="320865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704" behindDoc="1" locked="0" layoutInCell="0" allowOverlap="1" wp14:anchorId="049624C9" wp14:editId="0F0DE09E">
          <wp:simplePos x="0" y="0"/>
          <wp:positionH relativeFrom="margin">
            <wp:align>center</wp:align>
          </wp:positionH>
          <wp:positionV relativeFrom="margin">
            <wp:align>center</wp:align>
          </wp:positionV>
          <wp:extent cx="5252720" cy="3173095"/>
          <wp:effectExtent l="0" t="0" r="5080" b="8255"/>
          <wp:wrapNone/>
          <wp:docPr id="2" name="Imagen 2" descr="marca de agua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a de agua 2023"/>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252720" cy="3173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C1F6" w14:textId="0F3D8714" w:rsidR="001B2CE5" w:rsidRPr="007E2DCA" w:rsidRDefault="09077A11" w:rsidP="0016545C">
    <w:pPr>
      <w:pStyle w:val="Encabezado"/>
      <w:jc w:val="right"/>
      <w:rPr>
        <w:rFonts w:ascii="Bookman Old Style" w:hAnsi="Bookman Old Style"/>
        <w:sz w:val="18"/>
        <w:szCs w:val="18"/>
      </w:rPr>
    </w:pPr>
    <w:r w:rsidRPr="007E2DCA">
      <w:rPr>
        <w:rFonts w:ascii="Bookman Old Style" w:hAnsi="Bookman Old Style"/>
        <w:sz w:val="18"/>
        <w:szCs w:val="18"/>
      </w:rPr>
      <w:t>Recurso de queja</w:t>
    </w:r>
  </w:p>
  <w:p w14:paraId="0E13D12D" w14:textId="7C4C6116" w:rsidR="001B2CE5" w:rsidRPr="007E2DCA" w:rsidRDefault="001B2CE5" w:rsidP="0016545C">
    <w:pPr>
      <w:pStyle w:val="Encabezado"/>
      <w:jc w:val="right"/>
      <w:rPr>
        <w:rFonts w:ascii="Bookman Old Style" w:hAnsi="Bookman Old Style"/>
        <w:sz w:val="18"/>
        <w:szCs w:val="18"/>
      </w:rPr>
    </w:pPr>
    <w:r w:rsidRPr="007E2DCA">
      <w:rPr>
        <w:rFonts w:ascii="Bookman Old Style" w:hAnsi="Bookman Old Style"/>
        <w:sz w:val="18"/>
        <w:szCs w:val="18"/>
      </w:rPr>
      <w:t xml:space="preserve">Radicado </w:t>
    </w:r>
    <w:r w:rsidR="00D51293" w:rsidRPr="007E2DCA">
      <w:rPr>
        <w:rFonts w:ascii="Bookman Old Style" w:hAnsi="Bookman Old Style"/>
        <w:sz w:val="18"/>
        <w:szCs w:val="18"/>
      </w:rPr>
      <w:t>7</w:t>
    </w:r>
    <w:r w:rsidR="00A366DE" w:rsidRPr="007E2DCA">
      <w:rPr>
        <w:rFonts w:ascii="Bookman Old Style" w:hAnsi="Bookman Old Style"/>
        <w:sz w:val="18"/>
        <w:szCs w:val="18"/>
      </w:rPr>
      <w:t>2.726</w:t>
    </w:r>
  </w:p>
  <w:p w14:paraId="4223046B" w14:textId="77777777" w:rsidR="00A366DE" w:rsidRPr="007E2DCA" w:rsidRDefault="09077A11" w:rsidP="0016545C">
    <w:pPr>
      <w:pStyle w:val="Encabezado"/>
      <w:jc w:val="right"/>
      <w:rPr>
        <w:rFonts w:ascii="Bookman Old Style" w:hAnsi="Bookman Old Style"/>
        <w:sz w:val="18"/>
        <w:szCs w:val="18"/>
      </w:rPr>
    </w:pPr>
    <w:r w:rsidRPr="007E2DCA">
      <w:rPr>
        <w:rFonts w:ascii="Bookman Old Style" w:hAnsi="Bookman Old Style"/>
        <w:sz w:val="18"/>
        <w:szCs w:val="18"/>
      </w:rPr>
      <w:t xml:space="preserve">CUI 11001600000020240122202 </w:t>
    </w:r>
  </w:p>
  <w:p w14:paraId="3876186D" w14:textId="4673BA12" w:rsidR="001B2CE5" w:rsidRPr="00261BD2" w:rsidRDefault="007021C0" w:rsidP="0016545C">
    <w:pPr>
      <w:pStyle w:val="Encabezado"/>
      <w:jc w:val="right"/>
      <w:rPr>
        <w:rFonts w:ascii="Bookman Old Style" w:hAnsi="Bookman Old Style"/>
        <w:smallCaps/>
        <w:sz w:val="20"/>
        <w:szCs w:val="20"/>
      </w:rPr>
    </w:pPr>
    <w:r w:rsidRPr="007E2DCA">
      <w:rPr>
        <w:noProof/>
      </w:rPr>
      <w:drawing>
        <wp:anchor distT="0" distB="0" distL="114300" distR="114300" simplePos="0" relativeHeight="251660800" behindDoc="1" locked="0" layoutInCell="1" allowOverlap="1" wp14:anchorId="68CCFF9B" wp14:editId="291788F4">
          <wp:simplePos x="0" y="0"/>
          <wp:positionH relativeFrom="column">
            <wp:posOffset>19050</wp:posOffset>
          </wp:positionH>
          <wp:positionV relativeFrom="paragraph">
            <wp:posOffset>2626360</wp:posOffset>
          </wp:positionV>
          <wp:extent cx="5376745" cy="2245261"/>
          <wp:effectExtent l="0" t="0" r="0" b="3175"/>
          <wp:wrapNone/>
          <wp:docPr id="719692781"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descr="Texto, Carta&#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page">
            <wp14:pctWidth>0</wp14:pctWidth>
          </wp14:sizeRelH>
          <wp14:sizeRelV relativeFrom="page">
            <wp14:pctHeight>0</wp14:pctHeight>
          </wp14:sizeRelV>
        </wp:anchor>
      </w:drawing>
    </w:r>
    <w:r w:rsidR="09077A11" w:rsidRPr="007E2DCA">
      <w:rPr>
        <w:rFonts w:ascii="Bookman Old Style" w:hAnsi="Bookman Old Style" w:cs="Arial"/>
        <w:smallCaps/>
        <w:sz w:val="20"/>
        <w:szCs w:val="20"/>
        <w:lang w:val="es-ES"/>
      </w:rPr>
      <w:t>Haidee</w:t>
    </w:r>
    <w:r w:rsidR="09077A11" w:rsidRPr="007E2DCA">
      <w:rPr>
        <w:rStyle w:val="normaltextrun"/>
        <w:rFonts w:ascii="Bookman Old Style" w:hAnsi="Bookman Old Style"/>
        <w:smallCaps/>
        <w:sz w:val="18"/>
        <w:szCs w:val="18"/>
        <w:shd w:val="clear" w:color="auto" w:fill="FFFFFF"/>
      </w:rPr>
      <w:t xml:space="preserve"> Gámez Ruiz y Claudia Melissa García Luna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2134" w14:textId="40B6D376" w:rsidR="001B2CE5" w:rsidRPr="00EC6CBD" w:rsidRDefault="007021C0" w:rsidP="0016545C">
    <w:pPr>
      <w:pStyle w:val="Encabezado"/>
      <w:jc w:val="center"/>
    </w:pPr>
    <w:r>
      <w:rPr>
        <w:noProof/>
      </w:rPr>
      <w:drawing>
        <wp:anchor distT="0" distB="0" distL="114300" distR="114300" simplePos="0" relativeHeight="251662848" behindDoc="1" locked="0" layoutInCell="1" allowOverlap="1" wp14:anchorId="510F096C" wp14:editId="73DB63E8">
          <wp:simplePos x="0" y="0"/>
          <wp:positionH relativeFrom="column">
            <wp:posOffset>-141791</wp:posOffset>
          </wp:positionH>
          <wp:positionV relativeFrom="paragraph">
            <wp:posOffset>5542915</wp:posOffset>
          </wp:positionV>
          <wp:extent cx="5376745" cy="2245261"/>
          <wp:effectExtent l="0" t="0" r="0" b="3175"/>
          <wp:wrapNone/>
          <wp:docPr id="1879614907"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descr="Texto, Carta&#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D2F33BC" wp14:editId="3D5D7E55">
          <wp:extent cx="1350645" cy="1722894"/>
          <wp:effectExtent l="0" t="0" r="1905" b="0"/>
          <wp:docPr id="142957707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143" cy="17248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7612A"/>
    <w:multiLevelType w:val="multilevel"/>
    <w:tmpl w:val="23CCC110"/>
    <w:lvl w:ilvl="0">
      <w:start w:val="1"/>
      <w:numFmt w:val="decimal"/>
      <w:lvlText w:val="%1."/>
      <w:lvlJc w:val="left"/>
      <w:pPr>
        <w:ind w:left="1068" w:hanging="360"/>
      </w:pPr>
      <w:rPr>
        <w:rFonts w:eastAsia="Times New Roman" w:cs="Arial"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508" w:hanging="1800"/>
      </w:pPr>
      <w:rPr>
        <w:rFonts w:hint="default"/>
      </w:rPr>
    </w:lvl>
    <w:lvl w:ilvl="6">
      <w:start w:val="1"/>
      <w:numFmt w:val="decimal"/>
      <w:isLgl/>
      <w:lvlText w:val="%1.%2.%3.%4.%5.%6.%7."/>
      <w:lvlJc w:val="left"/>
      <w:pPr>
        <w:ind w:left="2868" w:hanging="216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3228" w:hanging="2520"/>
      </w:pPr>
      <w:rPr>
        <w:rFonts w:hint="default"/>
      </w:rPr>
    </w:lvl>
  </w:abstractNum>
  <w:num w:numId="1" w16cid:durableId="1879512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E5"/>
    <w:rsid w:val="00010415"/>
    <w:rsid w:val="00022018"/>
    <w:rsid w:val="00025920"/>
    <w:rsid w:val="00032796"/>
    <w:rsid w:val="000359DA"/>
    <w:rsid w:val="00044AE5"/>
    <w:rsid w:val="00046412"/>
    <w:rsid w:val="00057543"/>
    <w:rsid w:val="00065153"/>
    <w:rsid w:val="00070D9D"/>
    <w:rsid w:val="00077768"/>
    <w:rsid w:val="000858A9"/>
    <w:rsid w:val="000866CC"/>
    <w:rsid w:val="000B2BC8"/>
    <w:rsid w:val="000B68BF"/>
    <w:rsid w:val="000C4833"/>
    <w:rsid w:val="000C554D"/>
    <w:rsid w:val="000C7068"/>
    <w:rsid w:val="000D2705"/>
    <w:rsid w:val="000E684B"/>
    <w:rsid w:val="000F0E42"/>
    <w:rsid w:val="000F35A6"/>
    <w:rsid w:val="000F5505"/>
    <w:rsid w:val="00107A3D"/>
    <w:rsid w:val="00114197"/>
    <w:rsid w:val="00115936"/>
    <w:rsid w:val="00150B5E"/>
    <w:rsid w:val="00152A82"/>
    <w:rsid w:val="00155AF4"/>
    <w:rsid w:val="00164E25"/>
    <w:rsid w:val="001752B3"/>
    <w:rsid w:val="001850D0"/>
    <w:rsid w:val="001917AC"/>
    <w:rsid w:val="001A3A7A"/>
    <w:rsid w:val="001A40D5"/>
    <w:rsid w:val="001A4942"/>
    <w:rsid w:val="001B2CE5"/>
    <w:rsid w:val="001C1E27"/>
    <w:rsid w:val="001D0228"/>
    <w:rsid w:val="001D4E17"/>
    <w:rsid w:val="001F7DE6"/>
    <w:rsid w:val="002108C2"/>
    <w:rsid w:val="00217429"/>
    <w:rsid w:val="00237BC9"/>
    <w:rsid w:val="00253323"/>
    <w:rsid w:val="002652CE"/>
    <w:rsid w:val="00282B16"/>
    <w:rsid w:val="00284A3F"/>
    <w:rsid w:val="002A7F94"/>
    <w:rsid w:val="002E0922"/>
    <w:rsid w:val="002E7A75"/>
    <w:rsid w:val="002F2909"/>
    <w:rsid w:val="00314582"/>
    <w:rsid w:val="00317F6A"/>
    <w:rsid w:val="00323062"/>
    <w:rsid w:val="00324DD0"/>
    <w:rsid w:val="00330E13"/>
    <w:rsid w:val="00333514"/>
    <w:rsid w:val="003719E4"/>
    <w:rsid w:val="003762A7"/>
    <w:rsid w:val="00394823"/>
    <w:rsid w:val="00395B4B"/>
    <w:rsid w:val="003C3793"/>
    <w:rsid w:val="003C605D"/>
    <w:rsid w:val="003C6634"/>
    <w:rsid w:val="003D5C38"/>
    <w:rsid w:val="00423991"/>
    <w:rsid w:val="00436760"/>
    <w:rsid w:val="0045113D"/>
    <w:rsid w:val="00454EC1"/>
    <w:rsid w:val="00457079"/>
    <w:rsid w:val="00460C48"/>
    <w:rsid w:val="00484DC7"/>
    <w:rsid w:val="00487495"/>
    <w:rsid w:val="0049324A"/>
    <w:rsid w:val="004962EF"/>
    <w:rsid w:val="004B46B0"/>
    <w:rsid w:val="004B6692"/>
    <w:rsid w:val="004D768A"/>
    <w:rsid w:val="004E5DCC"/>
    <w:rsid w:val="00507823"/>
    <w:rsid w:val="00516B99"/>
    <w:rsid w:val="00532E2B"/>
    <w:rsid w:val="00545B4E"/>
    <w:rsid w:val="0055196D"/>
    <w:rsid w:val="00553B93"/>
    <w:rsid w:val="005550D6"/>
    <w:rsid w:val="00555307"/>
    <w:rsid w:val="00556C21"/>
    <w:rsid w:val="0056277E"/>
    <w:rsid w:val="00567524"/>
    <w:rsid w:val="00574524"/>
    <w:rsid w:val="005746B1"/>
    <w:rsid w:val="005C0056"/>
    <w:rsid w:val="005C0997"/>
    <w:rsid w:val="005D58E4"/>
    <w:rsid w:val="005E0F9B"/>
    <w:rsid w:val="00611455"/>
    <w:rsid w:val="00612A1B"/>
    <w:rsid w:val="00614EA3"/>
    <w:rsid w:val="00624579"/>
    <w:rsid w:val="00632951"/>
    <w:rsid w:val="00641E78"/>
    <w:rsid w:val="006455A8"/>
    <w:rsid w:val="00663256"/>
    <w:rsid w:val="006823F7"/>
    <w:rsid w:val="00686E4A"/>
    <w:rsid w:val="00694C25"/>
    <w:rsid w:val="006A111E"/>
    <w:rsid w:val="006B472F"/>
    <w:rsid w:val="006C0768"/>
    <w:rsid w:val="006D33DC"/>
    <w:rsid w:val="006E39D3"/>
    <w:rsid w:val="006E3DF7"/>
    <w:rsid w:val="006F5346"/>
    <w:rsid w:val="006F7F5D"/>
    <w:rsid w:val="007021C0"/>
    <w:rsid w:val="00706FF7"/>
    <w:rsid w:val="007113AC"/>
    <w:rsid w:val="007127D7"/>
    <w:rsid w:val="00715C86"/>
    <w:rsid w:val="00716796"/>
    <w:rsid w:val="007310E0"/>
    <w:rsid w:val="00764505"/>
    <w:rsid w:val="00765D1D"/>
    <w:rsid w:val="0076684A"/>
    <w:rsid w:val="0078707C"/>
    <w:rsid w:val="00796805"/>
    <w:rsid w:val="007A70C5"/>
    <w:rsid w:val="007C035A"/>
    <w:rsid w:val="007D298C"/>
    <w:rsid w:val="007E2DCA"/>
    <w:rsid w:val="007E317A"/>
    <w:rsid w:val="00810EA8"/>
    <w:rsid w:val="0082398B"/>
    <w:rsid w:val="008317DF"/>
    <w:rsid w:val="00844D41"/>
    <w:rsid w:val="00863AE1"/>
    <w:rsid w:val="00864399"/>
    <w:rsid w:val="008856DB"/>
    <w:rsid w:val="008A2A07"/>
    <w:rsid w:val="008D6B0F"/>
    <w:rsid w:val="008E5BFE"/>
    <w:rsid w:val="008F40A1"/>
    <w:rsid w:val="008F7753"/>
    <w:rsid w:val="0090093A"/>
    <w:rsid w:val="00913AD4"/>
    <w:rsid w:val="00935EF0"/>
    <w:rsid w:val="009459A0"/>
    <w:rsid w:val="00953A5A"/>
    <w:rsid w:val="00954F59"/>
    <w:rsid w:val="00965C36"/>
    <w:rsid w:val="0098603A"/>
    <w:rsid w:val="009941D4"/>
    <w:rsid w:val="00997FD7"/>
    <w:rsid w:val="009A514D"/>
    <w:rsid w:val="009A5672"/>
    <w:rsid w:val="009B32D9"/>
    <w:rsid w:val="009B7680"/>
    <w:rsid w:val="009C6E18"/>
    <w:rsid w:val="009D5E98"/>
    <w:rsid w:val="009E10A1"/>
    <w:rsid w:val="00A366DE"/>
    <w:rsid w:val="00A43A5E"/>
    <w:rsid w:val="00A43CBB"/>
    <w:rsid w:val="00A44A2F"/>
    <w:rsid w:val="00A70A60"/>
    <w:rsid w:val="00A71A0B"/>
    <w:rsid w:val="00A82736"/>
    <w:rsid w:val="00A92170"/>
    <w:rsid w:val="00AB5A75"/>
    <w:rsid w:val="00AC72FE"/>
    <w:rsid w:val="00AD7CF2"/>
    <w:rsid w:val="00B0032B"/>
    <w:rsid w:val="00B0186D"/>
    <w:rsid w:val="00B1229E"/>
    <w:rsid w:val="00B238D3"/>
    <w:rsid w:val="00B42DDA"/>
    <w:rsid w:val="00B524DD"/>
    <w:rsid w:val="00B6198F"/>
    <w:rsid w:val="00B66584"/>
    <w:rsid w:val="00B67623"/>
    <w:rsid w:val="00B82FE7"/>
    <w:rsid w:val="00B87DAC"/>
    <w:rsid w:val="00B948FB"/>
    <w:rsid w:val="00BF2161"/>
    <w:rsid w:val="00C00673"/>
    <w:rsid w:val="00C0637A"/>
    <w:rsid w:val="00C11941"/>
    <w:rsid w:val="00C46E4B"/>
    <w:rsid w:val="00C537C2"/>
    <w:rsid w:val="00C79061"/>
    <w:rsid w:val="00C93C0F"/>
    <w:rsid w:val="00CA6CCF"/>
    <w:rsid w:val="00CE0160"/>
    <w:rsid w:val="00CE5435"/>
    <w:rsid w:val="00CF0216"/>
    <w:rsid w:val="00CF1908"/>
    <w:rsid w:val="00CF7D31"/>
    <w:rsid w:val="00D2240A"/>
    <w:rsid w:val="00D237FF"/>
    <w:rsid w:val="00D51293"/>
    <w:rsid w:val="00D54864"/>
    <w:rsid w:val="00D54941"/>
    <w:rsid w:val="00D92F4D"/>
    <w:rsid w:val="00D97CC0"/>
    <w:rsid w:val="00DB254A"/>
    <w:rsid w:val="00DB3733"/>
    <w:rsid w:val="00DD3F62"/>
    <w:rsid w:val="00DE0A70"/>
    <w:rsid w:val="00DF2010"/>
    <w:rsid w:val="00E1187B"/>
    <w:rsid w:val="00E2463B"/>
    <w:rsid w:val="00E31E90"/>
    <w:rsid w:val="00E3369A"/>
    <w:rsid w:val="00E343B4"/>
    <w:rsid w:val="00E344C8"/>
    <w:rsid w:val="00E44980"/>
    <w:rsid w:val="00E50F58"/>
    <w:rsid w:val="00E81809"/>
    <w:rsid w:val="00E8495E"/>
    <w:rsid w:val="00EB2D84"/>
    <w:rsid w:val="00EC41AC"/>
    <w:rsid w:val="00ED20EF"/>
    <w:rsid w:val="00ED22A0"/>
    <w:rsid w:val="00ED29FF"/>
    <w:rsid w:val="00EE710E"/>
    <w:rsid w:val="00EE7602"/>
    <w:rsid w:val="00EF401E"/>
    <w:rsid w:val="00EF464C"/>
    <w:rsid w:val="00EF5C11"/>
    <w:rsid w:val="00F05A19"/>
    <w:rsid w:val="00F0794C"/>
    <w:rsid w:val="00F15325"/>
    <w:rsid w:val="00F16050"/>
    <w:rsid w:val="00F23F4B"/>
    <w:rsid w:val="00F27A2F"/>
    <w:rsid w:val="00F3521A"/>
    <w:rsid w:val="00F43D59"/>
    <w:rsid w:val="00F44C38"/>
    <w:rsid w:val="00F46401"/>
    <w:rsid w:val="00F46E12"/>
    <w:rsid w:val="00F54DAA"/>
    <w:rsid w:val="00F85879"/>
    <w:rsid w:val="00F86D34"/>
    <w:rsid w:val="00F872EC"/>
    <w:rsid w:val="00F95628"/>
    <w:rsid w:val="00FB49CB"/>
    <w:rsid w:val="00FD60F6"/>
    <w:rsid w:val="00FF09B5"/>
    <w:rsid w:val="00FF4AD0"/>
    <w:rsid w:val="02583951"/>
    <w:rsid w:val="032C5FF5"/>
    <w:rsid w:val="0344535A"/>
    <w:rsid w:val="03FF94A3"/>
    <w:rsid w:val="09077A11"/>
    <w:rsid w:val="0E2B2301"/>
    <w:rsid w:val="10428882"/>
    <w:rsid w:val="104CE882"/>
    <w:rsid w:val="10EE7797"/>
    <w:rsid w:val="14AADB43"/>
    <w:rsid w:val="19EA7F70"/>
    <w:rsid w:val="1D374A74"/>
    <w:rsid w:val="1DF02CFA"/>
    <w:rsid w:val="204BA9B5"/>
    <w:rsid w:val="20A6394F"/>
    <w:rsid w:val="25D46550"/>
    <w:rsid w:val="2825616D"/>
    <w:rsid w:val="289C19F0"/>
    <w:rsid w:val="2BFBAE9A"/>
    <w:rsid w:val="2FD03FD9"/>
    <w:rsid w:val="319B7F6F"/>
    <w:rsid w:val="32A26AD1"/>
    <w:rsid w:val="3C5CAF7E"/>
    <w:rsid w:val="3D5CC352"/>
    <w:rsid w:val="40505FF6"/>
    <w:rsid w:val="4229363B"/>
    <w:rsid w:val="47535445"/>
    <w:rsid w:val="4811AC20"/>
    <w:rsid w:val="4D928ACF"/>
    <w:rsid w:val="4F943B2C"/>
    <w:rsid w:val="5293E837"/>
    <w:rsid w:val="61A8FE3A"/>
    <w:rsid w:val="666224D0"/>
    <w:rsid w:val="68DF3E02"/>
    <w:rsid w:val="735DA5AE"/>
    <w:rsid w:val="766900BB"/>
    <w:rsid w:val="7864A2E1"/>
    <w:rsid w:val="7B0819A2"/>
    <w:rsid w:val="7D58FBF8"/>
    <w:rsid w:val="7F4F3A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33E1F"/>
  <w15:chartTrackingRefBased/>
  <w15:docId w15:val="{523ACACB-71BD-473F-9011-EEB72026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E5"/>
    <w:rPr>
      <w:rFonts w:eastAsia="SimSun"/>
      <w:kern w:val="0"/>
      <w14:ligatures w14:val="none"/>
    </w:rPr>
  </w:style>
  <w:style w:type="paragraph" w:styleId="Ttulo1">
    <w:name w:val="heading 1"/>
    <w:basedOn w:val="Normal"/>
    <w:next w:val="Normal"/>
    <w:link w:val="Ttulo1Car"/>
    <w:uiPriority w:val="9"/>
    <w:qFormat/>
    <w:rsid w:val="001B2C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B2C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B2CE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B2CE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B2CE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B2CE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2CE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2CE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2CE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2CE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B2CE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B2CE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B2CE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B2CE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B2CE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2CE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2CE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2CE5"/>
    <w:rPr>
      <w:rFonts w:eastAsiaTheme="majorEastAsia" w:cstheme="majorBidi"/>
      <w:color w:val="272727" w:themeColor="text1" w:themeTint="D8"/>
    </w:rPr>
  </w:style>
  <w:style w:type="paragraph" w:styleId="Ttulo">
    <w:name w:val="Title"/>
    <w:basedOn w:val="Normal"/>
    <w:next w:val="Normal"/>
    <w:link w:val="TtuloCar"/>
    <w:uiPriority w:val="10"/>
    <w:qFormat/>
    <w:rsid w:val="001B2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2CE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2CE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2CE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2CE5"/>
    <w:pPr>
      <w:spacing w:before="160"/>
      <w:jc w:val="center"/>
    </w:pPr>
    <w:rPr>
      <w:i/>
      <w:iCs/>
      <w:color w:val="404040" w:themeColor="text1" w:themeTint="BF"/>
    </w:rPr>
  </w:style>
  <w:style w:type="character" w:customStyle="1" w:styleId="CitaCar">
    <w:name w:val="Cita Car"/>
    <w:basedOn w:val="Fuentedeprrafopredeter"/>
    <w:link w:val="Cita"/>
    <w:uiPriority w:val="29"/>
    <w:rsid w:val="001B2CE5"/>
    <w:rPr>
      <w:i/>
      <w:iCs/>
      <w:color w:val="404040" w:themeColor="text1" w:themeTint="BF"/>
    </w:rPr>
  </w:style>
  <w:style w:type="paragraph" w:styleId="Prrafodelista">
    <w:name w:val="List Paragraph"/>
    <w:aliases w:val="Colorful List - Accent 11,Ha,List Paragraph1,lp1,Delitos,Lista vistosa - Énfasis 11"/>
    <w:basedOn w:val="Normal"/>
    <w:link w:val="PrrafodelistaCar"/>
    <w:uiPriority w:val="34"/>
    <w:qFormat/>
    <w:rsid w:val="001B2CE5"/>
    <w:pPr>
      <w:ind w:left="720"/>
      <w:contextualSpacing/>
    </w:pPr>
  </w:style>
  <w:style w:type="character" w:styleId="nfasisintenso">
    <w:name w:val="Intense Emphasis"/>
    <w:basedOn w:val="Fuentedeprrafopredeter"/>
    <w:uiPriority w:val="21"/>
    <w:qFormat/>
    <w:rsid w:val="001B2CE5"/>
    <w:rPr>
      <w:i/>
      <w:iCs/>
      <w:color w:val="2F5496" w:themeColor="accent1" w:themeShade="BF"/>
    </w:rPr>
  </w:style>
  <w:style w:type="paragraph" w:styleId="Citadestacada">
    <w:name w:val="Intense Quote"/>
    <w:basedOn w:val="Normal"/>
    <w:next w:val="Normal"/>
    <w:link w:val="CitadestacadaCar"/>
    <w:uiPriority w:val="30"/>
    <w:qFormat/>
    <w:rsid w:val="001B2C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B2CE5"/>
    <w:rPr>
      <w:i/>
      <w:iCs/>
      <w:color w:val="2F5496" w:themeColor="accent1" w:themeShade="BF"/>
    </w:rPr>
  </w:style>
  <w:style w:type="character" w:styleId="Referenciaintensa">
    <w:name w:val="Intense Reference"/>
    <w:basedOn w:val="Fuentedeprrafopredeter"/>
    <w:uiPriority w:val="32"/>
    <w:qFormat/>
    <w:rsid w:val="001B2CE5"/>
    <w:rPr>
      <w:b/>
      <w:bCs/>
      <w:smallCaps/>
      <w:color w:val="2F5496" w:themeColor="accent1" w:themeShade="BF"/>
      <w:spacing w:val="5"/>
    </w:rPr>
  </w:style>
  <w:style w:type="paragraph" w:styleId="Encabezado">
    <w:name w:val="header"/>
    <w:basedOn w:val="Normal"/>
    <w:link w:val="EncabezadoCar"/>
    <w:uiPriority w:val="99"/>
    <w:unhideWhenUsed/>
    <w:rsid w:val="001B2C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CE5"/>
    <w:rPr>
      <w:rFonts w:eastAsia="SimSun"/>
      <w:kern w:val="0"/>
      <w14:ligatures w14:val="none"/>
    </w:rPr>
  </w:style>
  <w:style w:type="paragraph" w:styleId="Piedepgina">
    <w:name w:val="footer"/>
    <w:basedOn w:val="Normal"/>
    <w:link w:val="PiedepginaCar"/>
    <w:uiPriority w:val="99"/>
    <w:semiHidden/>
    <w:unhideWhenUsed/>
    <w:rsid w:val="001B2C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B2CE5"/>
    <w:rPr>
      <w:rFonts w:eastAsia="SimSun"/>
      <w:kern w:val="0"/>
      <w14:ligatures w14:val="none"/>
    </w:rPr>
  </w:style>
  <w:style w:type="character" w:styleId="Nmerodepgina">
    <w:name w:val="page number"/>
    <w:rsid w:val="001B2CE5"/>
    <w:rPr>
      <w:rFonts w:cs="Times New Roman"/>
    </w:rPr>
  </w:style>
  <w:style w:type="paragraph" w:customStyle="1" w:styleId="Texto">
    <w:name w:val="Texto"/>
    <w:basedOn w:val="Normal"/>
    <w:uiPriority w:val="99"/>
    <w:rsid w:val="001B2CE5"/>
    <w:pPr>
      <w:widowControl w:val="0"/>
      <w:autoSpaceDE w:val="0"/>
      <w:autoSpaceDN w:val="0"/>
      <w:adjustRightInd w:val="0"/>
      <w:spacing w:after="170" w:line="300" w:lineRule="atLeast"/>
      <w:ind w:left="567"/>
      <w:jc w:val="both"/>
      <w:textAlignment w:val="center"/>
    </w:pPr>
    <w:rPr>
      <w:rFonts w:ascii="Corbel" w:eastAsia="Times New Roman" w:hAnsi="Corbel" w:cs="Corbel"/>
      <w:color w:val="000000"/>
      <w:lang w:val="es-ES_tradnl" w:eastAsia="es-ES"/>
    </w:rPr>
  </w:style>
  <w:style w:type="character" w:customStyle="1" w:styleId="normaltextrun">
    <w:name w:val="normaltextrun"/>
    <w:basedOn w:val="Fuentedeprrafopredeter"/>
    <w:rsid w:val="001B2CE5"/>
  </w:style>
  <w:style w:type="character" w:customStyle="1" w:styleId="eop">
    <w:name w:val="eop"/>
    <w:basedOn w:val="Fuentedeprrafopredeter"/>
    <w:rsid w:val="001B2CE5"/>
  </w:style>
  <w:style w:type="paragraph" w:customStyle="1" w:styleId="paragraph">
    <w:name w:val="paragraph"/>
    <w:basedOn w:val="Normal"/>
    <w:rsid w:val="001B2CE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1B2CE5"/>
  </w:style>
  <w:style w:type="paragraph" w:styleId="Textonotapie">
    <w:name w:val="footnote text"/>
    <w:aliases w:val="Footnote Text Char Char Char Char Char,Footnote Text Char Char Char Char,Footnote reference,FA Fu,texto de nota al pie,Footnote Text Char Char Char Char Char Char Char Char,Footnote Text Char Char Cha,FA,ft,Footnote Text Char Char Char"/>
    <w:basedOn w:val="Normal"/>
    <w:link w:val="TextonotapieCar"/>
    <w:uiPriority w:val="99"/>
    <w:unhideWhenUsed/>
    <w:qFormat/>
    <w:rsid w:val="001B2CE5"/>
    <w:pPr>
      <w:spacing w:after="0" w:line="240" w:lineRule="auto"/>
    </w:pPr>
    <w:rPr>
      <w:rFonts w:eastAsiaTheme="minorHAnsi"/>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r Char Char Char Char Char Char Char Car,Footnote Text Char Char Cha Car"/>
    <w:basedOn w:val="Fuentedeprrafopredeter"/>
    <w:link w:val="Textonotapie"/>
    <w:uiPriority w:val="99"/>
    <w:qFormat/>
    <w:rsid w:val="001B2CE5"/>
    <w:rPr>
      <w:kern w:val="0"/>
      <w:sz w:val="20"/>
      <w:szCs w:val="20"/>
      <w14:ligatures w14:val="none"/>
    </w:rPr>
  </w:style>
  <w:style w:type="character" w:styleId="Refdenotaalpie">
    <w:name w:val="footnote reference"/>
    <w:aliases w:val="Texto de nota al pie,referencia nota al pie,Appel note de bas de page,Footnotes refss,Ref. de nota al pie 2,Ref,de nota al pie,BVI fnr,Footnote symbol,Footnote,Ref. de nota al pie2,Nota de pie,Pie de pagina,Ref. ...,Ref1,FC,F,FZ,f"/>
    <w:basedOn w:val="Fuentedeprrafopredeter"/>
    <w:link w:val="4GChar"/>
    <w:unhideWhenUsed/>
    <w:qFormat/>
    <w:rsid w:val="001B2CE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1B2CE5"/>
    <w:pPr>
      <w:spacing w:after="0" w:line="240" w:lineRule="auto"/>
      <w:jc w:val="both"/>
    </w:pPr>
    <w:rPr>
      <w:rFonts w:eastAsiaTheme="minorHAnsi"/>
      <w:kern w:val="2"/>
      <w:vertAlign w:val="superscript"/>
      <w14:ligatures w14:val="standardContextual"/>
    </w:rPr>
  </w:style>
  <w:style w:type="paragraph" w:customStyle="1" w:styleId="Default">
    <w:name w:val="Default"/>
    <w:rsid w:val="001B2CE5"/>
    <w:pPr>
      <w:autoSpaceDE w:val="0"/>
      <w:autoSpaceDN w:val="0"/>
      <w:adjustRightInd w:val="0"/>
      <w:spacing w:after="0" w:line="240" w:lineRule="auto"/>
    </w:pPr>
    <w:rPr>
      <w:rFonts w:ascii="Bookman Old Style" w:hAnsi="Bookman Old Style" w:cs="Bookman Old Style"/>
      <w:color w:val="000000"/>
      <w:kern w:val="0"/>
      <w:sz w:val="24"/>
      <w:szCs w:val="24"/>
      <w:lang w:val="en-US"/>
      <w14:ligatures w14:val="none"/>
    </w:rPr>
  </w:style>
  <w:style w:type="paragraph" w:styleId="Textoindependiente">
    <w:name w:val="Body Text"/>
    <w:basedOn w:val="Normal"/>
    <w:link w:val="TextoindependienteCar"/>
    <w:uiPriority w:val="99"/>
    <w:unhideWhenUsed/>
    <w:rsid w:val="00553B93"/>
    <w:pPr>
      <w:spacing w:after="120" w:line="276" w:lineRule="auto"/>
    </w:pPr>
    <w:rPr>
      <w:rFonts w:ascii="Calibri" w:eastAsia="Times New Roman" w:hAnsi="Calibri" w:cs="Times New Roman"/>
      <w:lang w:val="es-ES"/>
    </w:rPr>
  </w:style>
  <w:style w:type="character" w:customStyle="1" w:styleId="TextoindependienteCar">
    <w:name w:val="Texto independiente Car"/>
    <w:basedOn w:val="Fuentedeprrafopredeter"/>
    <w:link w:val="Textoindependiente"/>
    <w:uiPriority w:val="99"/>
    <w:rsid w:val="00553B93"/>
    <w:rPr>
      <w:rFonts w:ascii="Calibri" w:eastAsia="Times New Roman" w:hAnsi="Calibri" w:cs="Times New Roman"/>
      <w:kern w:val="0"/>
      <w:lang w:val="es-ES"/>
      <w14:ligatures w14:val="none"/>
    </w:rPr>
  </w:style>
  <w:style w:type="character" w:styleId="Hipervnculo">
    <w:name w:val="Hyperlink"/>
    <w:basedOn w:val="Fuentedeprrafopredeter"/>
    <w:uiPriority w:val="99"/>
    <w:unhideWhenUsed/>
    <w:rsid w:val="00E343B4"/>
    <w:rPr>
      <w:color w:val="0563C1" w:themeColor="hyperlink"/>
      <w:u w:val="single"/>
    </w:rPr>
  </w:style>
  <w:style w:type="character" w:styleId="Mencinsinresolver">
    <w:name w:val="Unresolved Mention"/>
    <w:basedOn w:val="Fuentedeprrafopredeter"/>
    <w:uiPriority w:val="99"/>
    <w:semiHidden/>
    <w:unhideWhenUsed/>
    <w:rsid w:val="00E343B4"/>
    <w:rPr>
      <w:color w:val="605E5C"/>
      <w:shd w:val="clear" w:color="auto" w:fill="E1DFDD"/>
    </w:rPr>
  </w:style>
  <w:style w:type="character" w:styleId="Refdecomentario">
    <w:name w:val="annotation reference"/>
    <w:basedOn w:val="Fuentedeprrafopredeter"/>
    <w:uiPriority w:val="99"/>
    <w:semiHidden/>
    <w:unhideWhenUsed/>
    <w:rsid w:val="005C0056"/>
    <w:rPr>
      <w:sz w:val="16"/>
      <w:szCs w:val="16"/>
    </w:rPr>
  </w:style>
  <w:style w:type="paragraph" w:styleId="Textocomentario">
    <w:name w:val="annotation text"/>
    <w:basedOn w:val="Normal"/>
    <w:link w:val="TextocomentarioCar"/>
    <w:uiPriority w:val="99"/>
    <w:unhideWhenUsed/>
    <w:rsid w:val="005C0056"/>
    <w:pPr>
      <w:spacing w:line="240" w:lineRule="auto"/>
    </w:pPr>
    <w:rPr>
      <w:sz w:val="20"/>
      <w:szCs w:val="20"/>
    </w:rPr>
  </w:style>
  <w:style w:type="character" w:customStyle="1" w:styleId="TextocomentarioCar">
    <w:name w:val="Texto comentario Car"/>
    <w:basedOn w:val="Fuentedeprrafopredeter"/>
    <w:link w:val="Textocomentario"/>
    <w:uiPriority w:val="99"/>
    <w:rsid w:val="005C0056"/>
    <w:rPr>
      <w:rFonts w:eastAsia="SimSu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5C0056"/>
    <w:rPr>
      <w:b/>
      <w:bCs/>
    </w:rPr>
  </w:style>
  <w:style w:type="character" w:customStyle="1" w:styleId="AsuntodelcomentarioCar">
    <w:name w:val="Asunto del comentario Car"/>
    <w:basedOn w:val="TextocomentarioCar"/>
    <w:link w:val="Asuntodelcomentario"/>
    <w:uiPriority w:val="99"/>
    <w:semiHidden/>
    <w:rsid w:val="005C0056"/>
    <w:rPr>
      <w:rFonts w:eastAsia="SimSun"/>
      <w:b/>
      <w:bCs/>
      <w:kern w:val="0"/>
      <w:sz w:val="20"/>
      <w:szCs w:val="20"/>
      <w14:ligatures w14:val="none"/>
    </w:rPr>
  </w:style>
  <w:style w:type="paragraph" w:styleId="NormalWeb">
    <w:name w:val="Normal (Web)"/>
    <w:basedOn w:val="Normal"/>
    <w:uiPriority w:val="99"/>
    <w:semiHidden/>
    <w:unhideWhenUsed/>
    <w:rsid w:val="005C0056"/>
    <w:rPr>
      <w:rFonts w:ascii="Times New Roman" w:hAnsi="Times New Roman" w:cs="Times New Roman"/>
      <w:sz w:val="24"/>
      <w:szCs w:val="24"/>
    </w:rPr>
  </w:style>
  <w:style w:type="paragraph" w:styleId="Revisin">
    <w:name w:val="Revision"/>
    <w:hidden/>
    <w:uiPriority w:val="99"/>
    <w:semiHidden/>
    <w:rsid w:val="00B6198F"/>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9126E-3668-44F3-83B3-261A773A0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1848</Words>
  <Characters>10169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Carolina Santacruz Guerrero</dc:creator>
  <cp:keywords/>
  <dc:description/>
  <cp:lastModifiedBy>Lady Johanna Sanchez Piraneque</cp:lastModifiedBy>
  <cp:revision>19</cp:revision>
  <cp:lastPrinted>2026-07-08T16:50:00Z</cp:lastPrinted>
  <dcterms:created xsi:type="dcterms:W3CDTF">2026-05-25T22:03:00Z</dcterms:created>
  <dcterms:modified xsi:type="dcterms:W3CDTF">2026-07-15T13:23:00Z</dcterms:modified>
</cp:coreProperties>
</file>