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300CD" w:rsidRDefault="007300CD">
      <w:pPr>
        <w:widowControl w:val="0"/>
        <w:pBdr>
          <w:top w:val="nil"/>
          <w:left w:val="nil"/>
          <w:bottom w:val="nil"/>
          <w:right w:val="nil"/>
          <w:between w:val="nil"/>
        </w:pBdr>
        <w:spacing w:after="0"/>
        <w:rPr>
          <w:rFonts w:ascii="Bookman Old Style" w:eastAsia="Bookman Old Style" w:hAnsi="Bookman Old Style" w:cs="Bookman Old Style"/>
          <w:sz w:val="24"/>
          <w:szCs w:val="24"/>
        </w:rPr>
      </w:pPr>
    </w:p>
    <w:p w14:paraId="00000002" w14:textId="77777777" w:rsidR="007300CD" w:rsidRPr="00526151" w:rsidRDefault="00000000">
      <w:pPr>
        <w:spacing w:after="0" w:line="360" w:lineRule="auto"/>
        <w:jc w:val="center"/>
        <w:rPr>
          <w:rFonts w:ascii="Bookman Old Style" w:eastAsia="Bookman Old Style" w:hAnsi="Bookman Old Style" w:cs="Bookman Old Style"/>
          <w:b/>
          <w:bCs/>
          <w:smallCaps/>
          <w:sz w:val="28"/>
          <w:szCs w:val="28"/>
          <w:lang w:val="pt-PT"/>
        </w:rPr>
      </w:pPr>
      <w:r w:rsidRPr="00526151">
        <w:rPr>
          <w:rFonts w:ascii="Bookman Old Style" w:eastAsia="Bookman Old Style" w:hAnsi="Bookman Old Style" w:cs="Bookman Old Style"/>
          <w:b/>
          <w:bCs/>
          <w:smallCaps/>
          <w:sz w:val="28"/>
          <w:szCs w:val="28"/>
          <w:lang w:val="pt-PT"/>
        </w:rPr>
        <w:t>CARLOS ROBERTO SOLÓRZANO GARAVITO</w:t>
      </w:r>
    </w:p>
    <w:p w14:paraId="00000003" w14:textId="77777777" w:rsidR="007300CD" w:rsidRPr="00526151" w:rsidRDefault="00000000">
      <w:pPr>
        <w:spacing w:after="0" w:line="360" w:lineRule="auto"/>
        <w:jc w:val="center"/>
        <w:rPr>
          <w:rFonts w:ascii="Bookman Old Style" w:eastAsia="Bookman Old Style" w:hAnsi="Bookman Old Style" w:cs="Bookman Old Style"/>
          <w:sz w:val="28"/>
          <w:szCs w:val="28"/>
          <w:lang w:val="pt-PT"/>
        </w:rPr>
      </w:pPr>
      <w:r w:rsidRPr="00526151">
        <w:rPr>
          <w:rFonts w:ascii="Bookman Old Style" w:eastAsia="Bookman Old Style" w:hAnsi="Bookman Old Style" w:cs="Bookman Old Style"/>
          <w:sz w:val="28"/>
          <w:szCs w:val="28"/>
          <w:lang w:val="pt-PT"/>
        </w:rPr>
        <w:t>Magistrado ponente</w:t>
      </w:r>
    </w:p>
    <w:p w14:paraId="00000004" w14:textId="77777777" w:rsidR="007300CD" w:rsidRDefault="007300CD">
      <w:pPr>
        <w:spacing w:after="0" w:line="360" w:lineRule="auto"/>
        <w:jc w:val="center"/>
        <w:rPr>
          <w:rFonts w:ascii="Bookman Old Style" w:eastAsia="Bookman Old Style" w:hAnsi="Bookman Old Style" w:cs="Bookman Old Style"/>
          <w:b/>
          <w:bCs/>
          <w:sz w:val="28"/>
          <w:szCs w:val="28"/>
          <w:lang w:val="pt-PT"/>
        </w:rPr>
      </w:pPr>
    </w:p>
    <w:p w14:paraId="4708924D" w14:textId="77777777" w:rsidR="00222A49" w:rsidRPr="00526151" w:rsidRDefault="00222A49">
      <w:pPr>
        <w:spacing w:after="0" w:line="360" w:lineRule="auto"/>
        <w:jc w:val="center"/>
        <w:rPr>
          <w:rFonts w:ascii="Bookman Old Style" w:eastAsia="Bookman Old Style" w:hAnsi="Bookman Old Style" w:cs="Bookman Old Style"/>
          <w:b/>
          <w:bCs/>
          <w:sz w:val="28"/>
          <w:szCs w:val="28"/>
          <w:lang w:val="pt-PT"/>
        </w:rPr>
      </w:pPr>
    </w:p>
    <w:p w14:paraId="00000005" w14:textId="64B3F0EA" w:rsidR="007300CD" w:rsidRDefault="00000000">
      <w:pPr>
        <w:spacing w:after="0" w:line="360" w:lineRule="auto"/>
        <w:jc w:val="center"/>
        <w:rPr>
          <w:rFonts w:ascii="Bookman Old Style" w:eastAsia="Bookman Old Style" w:hAnsi="Bookman Old Style" w:cs="Bookman Old Style"/>
          <w:b/>
          <w:bCs/>
          <w:sz w:val="28"/>
          <w:szCs w:val="28"/>
        </w:rPr>
      </w:pPr>
      <w:r>
        <w:rPr>
          <w:rFonts w:ascii="Bookman Old Style" w:eastAsia="Bookman Old Style" w:hAnsi="Bookman Old Style" w:cs="Bookman Old Style"/>
          <w:b/>
          <w:bCs/>
          <w:sz w:val="28"/>
          <w:szCs w:val="28"/>
        </w:rPr>
        <w:t>AP</w:t>
      </w:r>
      <w:r w:rsidR="001D0DB9">
        <w:rPr>
          <w:rFonts w:ascii="Bookman Old Style" w:eastAsia="Bookman Old Style" w:hAnsi="Bookman Old Style" w:cs="Bookman Old Style"/>
          <w:b/>
          <w:bCs/>
          <w:sz w:val="28"/>
          <w:szCs w:val="28"/>
        </w:rPr>
        <w:t>4732</w:t>
      </w:r>
      <w:r>
        <w:rPr>
          <w:rFonts w:ascii="Bookman Old Style" w:eastAsia="Bookman Old Style" w:hAnsi="Bookman Old Style" w:cs="Bookman Old Style"/>
          <w:b/>
          <w:bCs/>
          <w:sz w:val="28"/>
          <w:szCs w:val="28"/>
        </w:rPr>
        <w:t>-2026</w:t>
      </w:r>
    </w:p>
    <w:p w14:paraId="00000006" w14:textId="77777777" w:rsidR="007300CD" w:rsidRDefault="3831A2B4" w:rsidP="3831A2B4">
      <w:pPr>
        <w:spacing w:after="0" w:line="360" w:lineRule="auto"/>
        <w:jc w:val="center"/>
        <w:rPr>
          <w:rFonts w:ascii="Bookman Old Style" w:eastAsia="Bookman Old Style" w:hAnsi="Bookman Old Style" w:cs="Bookman Old Style"/>
          <w:b/>
          <w:bCs/>
          <w:sz w:val="28"/>
          <w:szCs w:val="28"/>
          <w:lang w:val="es-ES"/>
        </w:rPr>
      </w:pPr>
      <w:r w:rsidRPr="3831A2B4">
        <w:rPr>
          <w:rFonts w:ascii="Bookman Old Style" w:eastAsia="Bookman Old Style" w:hAnsi="Bookman Old Style" w:cs="Bookman Old Style"/>
          <w:b/>
          <w:bCs/>
          <w:sz w:val="28"/>
          <w:szCs w:val="28"/>
          <w:lang w:val="es-ES"/>
        </w:rPr>
        <w:t xml:space="preserve">Radicación </w:t>
      </w:r>
      <w:proofErr w:type="spellStart"/>
      <w:r w:rsidRPr="3831A2B4">
        <w:rPr>
          <w:rFonts w:ascii="Bookman Old Style" w:eastAsia="Bookman Old Style" w:hAnsi="Bookman Old Style" w:cs="Bookman Old Style"/>
          <w:b/>
          <w:bCs/>
          <w:sz w:val="28"/>
          <w:szCs w:val="28"/>
          <w:lang w:val="es-ES"/>
        </w:rPr>
        <w:t>n°</w:t>
      </w:r>
      <w:proofErr w:type="spellEnd"/>
      <w:r w:rsidRPr="3831A2B4">
        <w:rPr>
          <w:rFonts w:ascii="Bookman Old Style" w:eastAsia="Bookman Old Style" w:hAnsi="Bookman Old Style" w:cs="Bookman Old Style"/>
          <w:b/>
          <w:bCs/>
          <w:sz w:val="28"/>
          <w:szCs w:val="28"/>
          <w:lang w:val="es-ES"/>
        </w:rPr>
        <w:t>. 67189</w:t>
      </w:r>
    </w:p>
    <w:p w14:paraId="00000007" w14:textId="0CCB0AE6" w:rsidR="007300CD" w:rsidRPr="00222A49" w:rsidRDefault="3831A2B4" w:rsidP="3831A2B4">
      <w:pPr>
        <w:spacing w:after="0" w:line="360" w:lineRule="auto"/>
        <w:jc w:val="center"/>
        <w:rPr>
          <w:rFonts w:ascii="Bookman Old Style" w:eastAsia="Bookman Old Style" w:hAnsi="Bookman Old Style" w:cs="Bookman Old Style"/>
          <w:b/>
          <w:bCs/>
          <w:sz w:val="28"/>
          <w:szCs w:val="28"/>
          <w:lang w:val="es-ES"/>
        </w:rPr>
      </w:pPr>
      <w:r w:rsidRPr="00222A49">
        <w:rPr>
          <w:rFonts w:ascii="Bookman Old Style" w:eastAsia="Bookman Old Style" w:hAnsi="Bookman Old Style" w:cs="Bookman Old Style"/>
          <w:b/>
          <w:bCs/>
          <w:sz w:val="28"/>
          <w:szCs w:val="28"/>
          <w:lang w:val="es-ES"/>
        </w:rPr>
        <w:t xml:space="preserve">Acta </w:t>
      </w:r>
      <w:proofErr w:type="spellStart"/>
      <w:r w:rsidRPr="00222A49">
        <w:rPr>
          <w:rFonts w:ascii="Bookman Old Style" w:eastAsia="Bookman Old Style" w:hAnsi="Bookman Old Style" w:cs="Bookman Old Style"/>
          <w:b/>
          <w:bCs/>
          <w:sz w:val="28"/>
          <w:szCs w:val="28"/>
          <w:lang w:val="es-ES"/>
        </w:rPr>
        <w:t>n°</w:t>
      </w:r>
      <w:proofErr w:type="spellEnd"/>
      <w:r w:rsidRPr="00222A49">
        <w:rPr>
          <w:rFonts w:ascii="Bookman Old Style" w:eastAsia="Bookman Old Style" w:hAnsi="Bookman Old Style" w:cs="Bookman Old Style"/>
          <w:b/>
          <w:bCs/>
          <w:sz w:val="28"/>
          <w:szCs w:val="28"/>
          <w:lang w:val="es-ES"/>
        </w:rPr>
        <w:t xml:space="preserve">. </w:t>
      </w:r>
      <w:r w:rsidR="00222A49" w:rsidRPr="00222A49">
        <w:rPr>
          <w:rFonts w:ascii="Bookman Old Style" w:eastAsia="Bookman Old Style" w:hAnsi="Bookman Old Style" w:cs="Bookman Old Style"/>
          <w:b/>
          <w:bCs/>
          <w:sz w:val="28"/>
          <w:szCs w:val="28"/>
          <w:lang w:val="es-ES"/>
        </w:rPr>
        <w:t>236</w:t>
      </w:r>
    </w:p>
    <w:p w14:paraId="00000008" w14:textId="77777777" w:rsidR="007300CD" w:rsidRDefault="007300CD">
      <w:pPr>
        <w:spacing w:after="0" w:line="360" w:lineRule="auto"/>
        <w:jc w:val="center"/>
        <w:rPr>
          <w:rFonts w:ascii="Bookman Old Style" w:eastAsia="Bookman Old Style" w:hAnsi="Bookman Old Style" w:cs="Bookman Old Style"/>
          <w:b/>
          <w:bCs/>
          <w:sz w:val="28"/>
          <w:szCs w:val="28"/>
        </w:rPr>
      </w:pPr>
    </w:p>
    <w:p w14:paraId="4E864442" w14:textId="77777777" w:rsidR="00222A49" w:rsidRDefault="00222A49">
      <w:pPr>
        <w:spacing w:after="0" w:line="360" w:lineRule="auto"/>
        <w:jc w:val="center"/>
        <w:rPr>
          <w:rFonts w:ascii="Bookman Old Style" w:eastAsia="Bookman Old Style" w:hAnsi="Bookman Old Style" w:cs="Bookman Old Style"/>
          <w:b/>
          <w:bCs/>
          <w:sz w:val="28"/>
          <w:szCs w:val="28"/>
        </w:rPr>
      </w:pPr>
    </w:p>
    <w:p w14:paraId="00000009" w14:textId="5498220E" w:rsidR="007300CD" w:rsidRDefault="3831A2B4" w:rsidP="3831A2B4">
      <w:pPr>
        <w:spacing w:after="0" w:line="360" w:lineRule="auto"/>
        <w:ind w:firstLine="708"/>
        <w:jc w:val="both"/>
        <w:rPr>
          <w:rFonts w:ascii="Bookman Old Style" w:eastAsia="Bookman Old Style" w:hAnsi="Bookman Old Style" w:cs="Bookman Old Style"/>
          <w:sz w:val="28"/>
          <w:szCs w:val="28"/>
          <w:lang w:val="es-ES"/>
        </w:rPr>
      </w:pPr>
      <w:r w:rsidRPr="3831A2B4">
        <w:rPr>
          <w:rFonts w:ascii="Bookman Old Style" w:eastAsia="Bookman Old Style" w:hAnsi="Bookman Old Style" w:cs="Bookman Old Style"/>
          <w:sz w:val="28"/>
          <w:szCs w:val="28"/>
          <w:lang w:val="es-ES"/>
        </w:rPr>
        <w:t xml:space="preserve">Bogotá D.C, </w:t>
      </w:r>
      <w:r w:rsidR="00222A49">
        <w:rPr>
          <w:rFonts w:ascii="Bookman Old Style" w:eastAsia="Bookman Old Style" w:hAnsi="Bookman Old Style" w:cs="Bookman Old Style"/>
          <w:sz w:val="28"/>
          <w:szCs w:val="28"/>
          <w:lang w:val="es-ES"/>
        </w:rPr>
        <w:t>veintidós</w:t>
      </w:r>
      <w:r w:rsidRPr="3831A2B4">
        <w:rPr>
          <w:rFonts w:ascii="Bookman Old Style" w:eastAsia="Bookman Old Style" w:hAnsi="Bookman Old Style" w:cs="Bookman Old Style"/>
          <w:sz w:val="28"/>
          <w:szCs w:val="28"/>
          <w:lang w:val="es-ES"/>
        </w:rPr>
        <w:t xml:space="preserve"> (</w:t>
      </w:r>
      <w:r w:rsidR="00526151">
        <w:rPr>
          <w:rFonts w:ascii="Bookman Old Style" w:eastAsia="Bookman Old Style" w:hAnsi="Bookman Old Style" w:cs="Bookman Old Style"/>
          <w:sz w:val="28"/>
          <w:szCs w:val="28"/>
          <w:lang w:val="es-ES"/>
        </w:rPr>
        <w:t>22</w:t>
      </w:r>
      <w:r w:rsidRPr="3831A2B4">
        <w:rPr>
          <w:rFonts w:ascii="Bookman Old Style" w:eastAsia="Bookman Old Style" w:hAnsi="Bookman Old Style" w:cs="Bookman Old Style"/>
          <w:sz w:val="28"/>
          <w:szCs w:val="28"/>
          <w:lang w:val="es-ES"/>
        </w:rPr>
        <w:t xml:space="preserve">) de </w:t>
      </w:r>
      <w:r w:rsidR="00526151">
        <w:rPr>
          <w:rFonts w:ascii="Bookman Old Style" w:eastAsia="Bookman Old Style" w:hAnsi="Bookman Old Style" w:cs="Bookman Old Style"/>
          <w:sz w:val="28"/>
          <w:szCs w:val="28"/>
          <w:lang w:val="es-ES"/>
        </w:rPr>
        <w:t>julio</w:t>
      </w:r>
      <w:r w:rsidRPr="3831A2B4">
        <w:rPr>
          <w:rFonts w:ascii="Bookman Old Style" w:eastAsia="Bookman Old Style" w:hAnsi="Bookman Old Style" w:cs="Bookman Old Style"/>
          <w:sz w:val="28"/>
          <w:szCs w:val="28"/>
          <w:lang w:val="es-ES"/>
        </w:rPr>
        <w:t xml:space="preserve"> de dos mil veintiséis (2026).</w:t>
      </w:r>
    </w:p>
    <w:p w14:paraId="16C9128F" w14:textId="77777777" w:rsidR="00222A49" w:rsidRDefault="00222A49" w:rsidP="3831A2B4">
      <w:pPr>
        <w:spacing w:after="0" w:line="360" w:lineRule="auto"/>
        <w:ind w:firstLine="708"/>
        <w:jc w:val="both"/>
        <w:rPr>
          <w:rFonts w:ascii="Bookman Old Style" w:eastAsia="Bookman Old Style" w:hAnsi="Bookman Old Style" w:cs="Bookman Old Style"/>
          <w:sz w:val="28"/>
          <w:szCs w:val="28"/>
          <w:lang w:val="es-ES"/>
        </w:rPr>
      </w:pPr>
    </w:p>
    <w:p w14:paraId="0000000A" w14:textId="77777777" w:rsidR="007300CD" w:rsidRDefault="00000000">
      <w:pPr>
        <w:numPr>
          <w:ilvl w:val="0"/>
          <w:numId w:val="1"/>
        </w:numPr>
        <w:spacing w:after="0" w:line="360" w:lineRule="auto"/>
        <w:ind w:left="0" w:firstLine="0"/>
        <w:jc w:val="center"/>
        <w:rPr>
          <w:rFonts w:ascii="Bookman Old Style" w:eastAsia="Bookman Old Style" w:hAnsi="Bookman Old Style" w:cs="Bookman Old Style"/>
          <w:b/>
          <w:bCs/>
          <w:sz w:val="28"/>
          <w:szCs w:val="28"/>
        </w:rPr>
      </w:pPr>
      <w:r>
        <w:rPr>
          <w:rFonts w:ascii="Bookman Old Style" w:eastAsia="Bookman Old Style" w:hAnsi="Bookman Old Style" w:cs="Bookman Old Style"/>
          <w:b/>
          <w:bCs/>
          <w:sz w:val="28"/>
          <w:szCs w:val="28"/>
        </w:rPr>
        <w:t xml:space="preserve">ASUNTO. </w:t>
      </w:r>
    </w:p>
    <w:p w14:paraId="0000000B" w14:textId="77777777" w:rsidR="007300CD" w:rsidRDefault="007300CD">
      <w:pPr>
        <w:spacing w:after="0" w:line="360" w:lineRule="auto"/>
        <w:rPr>
          <w:rFonts w:ascii="Bookman Old Style" w:eastAsia="Bookman Old Style" w:hAnsi="Bookman Old Style" w:cs="Bookman Old Style"/>
          <w:b/>
          <w:bCs/>
          <w:sz w:val="28"/>
          <w:szCs w:val="28"/>
        </w:rPr>
      </w:pPr>
    </w:p>
    <w:p w14:paraId="0000000C" w14:textId="77777777" w:rsidR="007300CD" w:rsidRDefault="00000000">
      <w:pPr>
        <w:spacing w:line="360" w:lineRule="auto"/>
        <w:ind w:firstLine="708"/>
        <w:jc w:val="both"/>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 xml:space="preserve">Sería del caso pronunciarse sobre la demanda de casación presentada por el defensor de </w:t>
      </w:r>
      <w:r>
        <w:rPr>
          <w:rFonts w:ascii="Bookman Old Style" w:eastAsia="Bookman Old Style" w:hAnsi="Bookman Old Style" w:cs="Bookman Old Style"/>
          <w:b/>
          <w:bCs/>
          <w:sz w:val="28"/>
          <w:szCs w:val="28"/>
        </w:rPr>
        <w:t>DIEGO ORLANDO RIVERA RODRÍGUEZ</w:t>
      </w:r>
      <w:r>
        <w:rPr>
          <w:rFonts w:ascii="Bookman Old Style" w:eastAsia="Bookman Old Style" w:hAnsi="Bookman Old Style" w:cs="Bookman Old Style"/>
          <w:sz w:val="28"/>
          <w:szCs w:val="28"/>
        </w:rPr>
        <w:t xml:space="preserve"> contra la sentencia del 05 de junio de 2024, proferida por la Sala Penal del Tribunal Superior de Bogotá, que revocó la sentencia condenatoria del 06 de octubre de 2023, proferida por el Juzgado Dieciséis Penal Municipal, como autor del delito de </w:t>
      </w:r>
      <w:r>
        <w:rPr>
          <w:rFonts w:ascii="Bookman Old Style" w:eastAsia="Bookman Old Style" w:hAnsi="Bookman Old Style" w:cs="Bookman Old Style"/>
          <w:i/>
          <w:iCs/>
          <w:sz w:val="28"/>
          <w:szCs w:val="28"/>
        </w:rPr>
        <w:t>Perturbación de la posesión sobre inmueble</w:t>
      </w:r>
      <w:r>
        <w:rPr>
          <w:rFonts w:ascii="Bookman Old Style" w:eastAsia="Bookman Old Style" w:hAnsi="Bookman Old Style" w:cs="Bookman Old Style"/>
          <w:sz w:val="28"/>
          <w:szCs w:val="28"/>
        </w:rPr>
        <w:t>, de no ser porque se ha tenido conocimiento de su muerte.</w:t>
      </w:r>
    </w:p>
    <w:p w14:paraId="44E8714F" w14:textId="77777777" w:rsidR="00222A49" w:rsidRDefault="00222A49">
      <w:pPr>
        <w:spacing w:line="360" w:lineRule="auto"/>
        <w:ind w:firstLine="708"/>
        <w:jc w:val="both"/>
        <w:rPr>
          <w:rFonts w:ascii="Bookman Old Style" w:eastAsia="Bookman Old Style" w:hAnsi="Bookman Old Style" w:cs="Bookman Old Style"/>
          <w:sz w:val="28"/>
          <w:szCs w:val="28"/>
        </w:rPr>
      </w:pPr>
    </w:p>
    <w:p w14:paraId="0000000D" w14:textId="77777777" w:rsidR="007300CD" w:rsidRDefault="00000000">
      <w:pPr>
        <w:numPr>
          <w:ilvl w:val="0"/>
          <w:numId w:val="1"/>
        </w:numPr>
        <w:spacing w:after="0" w:line="360" w:lineRule="auto"/>
        <w:ind w:left="0" w:firstLine="0"/>
        <w:jc w:val="center"/>
        <w:rPr>
          <w:rFonts w:ascii="Bookman Old Style" w:eastAsia="Bookman Old Style" w:hAnsi="Bookman Old Style" w:cs="Bookman Old Style"/>
          <w:b/>
          <w:bCs/>
          <w:color w:val="000000"/>
          <w:sz w:val="28"/>
          <w:szCs w:val="28"/>
        </w:rPr>
      </w:pPr>
      <w:r>
        <w:rPr>
          <w:rFonts w:ascii="Bookman Old Style" w:eastAsia="Bookman Old Style" w:hAnsi="Bookman Old Style" w:cs="Bookman Old Style"/>
          <w:b/>
          <w:bCs/>
          <w:color w:val="000000"/>
          <w:sz w:val="28"/>
          <w:szCs w:val="28"/>
        </w:rPr>
        <w:lastRenderedPageBreak/>
        <w:t>HECHOS</w:t>
      </w:r>
    </w:p>
    <w:p w14:paraId="0000000E" w14:textId="77777777" w:rsidR="007300CD" w:rsidRDefault="007300CD">
      <w:pPr>
        <w:pBdr>
          <w:top w:val="nil"/>
          <w:left w:val="nil"/>
          <w:bottom w:val="nil"/>
          <w:right w:val="nil"/>
          <w:between w:val="nil"/>
        </w:pBdr>
        <w:spacing w:after="0" w:line="360" w:lineRule="auto"/>
        <w:jc w:val="both"/>
        <w:rPr>
          <w:rFonts w:ascii="Bookman Old Style" w:eastAsia="Bookman Old Style" w:hAnsi="Bookman Old Style" w:cs="Bookman Old Style"/>
          <w:color w:val="000000"/>
          <w:sz w:val="28"/>
          <w:szCs w:val="28"/>
        </w:rPr>
      </w:pPr>
    </w:p>
    <w:p w14:paraId="0000000F" w14:textId="77777777" w:rsidR="007300CD" w:rsidRDefault="00000000">
      <w:pPr>
        <w:pBdr>
          <w:top w:val="nil"/>
          <w:left w:val="nil"/>
          <w:bottom w:val="nil"/>
          <w:right w:val="nil"/>
          <w:between w:val="nil"/>
        </w:pBdr>
        <w:spacing w:after="0" w:line="360" w:lineRule="auto"/>
        <w:ind w:firstLine="708"/>
        <w:jc w:val="both"/>
        <w:rPr>
          <w:rFonts w:ascii="Bookman Old Style" w:eastAsia="Bookman Old Style" w:hAnsi="Bookman Old Style" w:cs="Bookman Old Style"/>
          <w:i/>
          <w:iCs/>
          <w:color w:val="000000"/>
          <w:sz w:val="24"/>
          <w:szCs w:val="24"/>
        </w:rPr>
      </w:pPr>
      <w:r>
        <w:rPr>
          <w:rFonts w:ascii="Bookman Old Style" w:eastAsia="Bookman Old Style" w:hAnsi="Bookman Old Style" w:cs="Bookman Old Style"/>
          <w:color w:val="000000"/>
          <w:sz w:val="28"/>
          <w:szCs w:val="28"/>
        </w:rPr>
        <w:t>Los hechos fueron referidos por las instancias de la siguiente manera:</w:t>
      </w:r>
      <w:r>
        <w:rPr>
          <w:rFonts w:ascii="Bookman Old Style" w:eastAsia="Bookman Old Style" w:hAnsi="Bookman Old Style" w:cs="Bookman Old Style"/>
          <w:i/>
          <w:iCs/>
          <w:color w:val="000000"/>
          <w:sz w:val="24"/>
          <w:szCs w:val="24"/>
        </w:rPr>
        <w:t xml:space="preserve"> </w:t>
      </w:r>
    </w:p>
    <w:p w14:paraId="224F66FF" w14:textId="77777777" w:rsidR="00222A49" w:rsidRDefault="00222A49">
      <w:pPr>
        <w:pBdr>
          <w:top w:val="nil"/>
          <w:left w:val="nil"/>
          <w:bottom w:val="nil"/>
          <w:right w:val="nil"/>
          <w:between w:val="nil"/>
        </w:pBdr>
        <w:spacing w:after="0" w:line="360" w:lineRule="auto"/>
        <w:ind w:firstLine="708"/>
        <w:jc w:val="both"/>
        <w:rPr>
          <w:rFonts w:ascii="Bookman Old Style" w:eastAsia="Bookman Old Style" w:hAnsi="Bookman Old Style" w:cs="Bookman Old Style"/>
          <w:i/>
          <w:iCs/>
          <w:color w:val="000000"/>
          <w:sz w:val="24"/>
          <w:szCs w:val="24"/>
        </w:rPr>
      </w:pPr>
    </w:p>
    <w:p w14:paraId="00000010" w14:textId="77777777" w:rsidR="007300CD" w:rsidRDefault="3831A2B4" w:rsidP="3831A2B4">
      <w:pPr>
        <w:pBdr>
          <w:top w:val="nil"/>
          <w:left w:val="nil"/>
          <w:bottom w:val="nil"/>
          <w:right w:val="nil"/>
          <w:between w:val="nil"/>
        </w:pBdr>
        <w:spacing w:after="0" w:line="240" w:lineRule="auto"/>
        <w:ind w:left="709"/>
        <w:jc w:val="both"/>
        <w:rPr>
          <w:rFonts w:ascii="Bookman Old Style" w:eastAsia="Bookman Old Style" w:hAnsi="Bookman Old Style" w:cs="Bookman Old Style"/>
          <w:i/>
          <w:iCs/>
          <w:color w:val="000000"/>
          <w:sz w:val="28"/>
          <w:szCs w:val="28"/>
          <w:lang w:val="es-ES"/>
        </w:rPr>
      </w:pPr>
      <w:r w:rsidRPr="3831A2B4">
        <w:rPr>
          <w:rFonts w:ascii="Bookman Old Style" w:eastAsia="Bookman Old Style" w:hAnsi="Bookman Old Style" w:cs="Bookman Old Style"/>
          <w:i/>
          <w:iCs/>
          <w:color w:val="000000" w:themeColor="text1"/>
          <w:sz w:val="24"/>
          <w:szCs w:val="24"/>
          <w:lang w:val="es-ES"/>
        </w:rPr>
        <w:t xml:space="preserve">El tres (3) de agosto de dos mil veinte (2020) Diego Orlando Rivera Rodríguez, residente del segundo piso del inmueble ubicado en la carrera 82A </w:t>
      </w:r>
      <w:proofErr w:type="spellStart"/>
      <w:r w:rsidRPr="3831A2B4">
        <w:rPr>
          <w:rFonts w:ascii="Bookman Old Style" w:eastAsia="Bookman Old Style" w:hAnsi="Bookman Old Style" w:cs="Bookman Old Style"/>
          <w:i/>
          <w:iCs/>
          <w:color w:val="000000" w:themeColor="text1"/>
          <w:sz w:val="24"/>
          <w:szCs w:val="24"/>
          <w:lang w:val="es-ES"/>
        </w:rPr>
        <w:t>Nº</w:t>
      </w:r>
      <w:proofErr w:type="spellEnd"/>
      <w:r w:rsidRPr="3831A2B4">
        <w:rPr>
          <w:rFonts w:ascii="Bookman Old Style" w:eastAsia="Bookman Old Style" w:hAnsi="Bookman Old Style" w:cs="Bookman Old Style"/>
          <w:i/>
          <w:iCs/>
          <w:color w:val="000000" w:themeColor="text1"/>
          <w:sz w:val="24"/>
          <w:szCs w:val="24"/>
          <w:lang w:val="es-ES"/>
        </w:rPr>
        <w:t xml:space="preserve"> 67-46 sur, barrio La Palestina de la localidad de Bosa de Bogotá D.C., impidió el ingreso definitivo de Jacqueline Brisneda Romero y </w:t>
      </w:r>
      <w:proofErr w:type="spellStart"/>
      <w:r w:rsidRPr="3831A2B4">
        <w:rPr>
          <w:rFonts w:ascii="Bookman Old Style" w:eastAsia="Bookman Old Style" w:hAnsi="Bookman Old Style" w:cs="Bookman Old Style"/>
          <w:i/>
          <w:iCs/>
          <w:color w:val="000000" w:themeColor="text1"/>
          <w:sz w:val="24"/>
          <w:szCs w:val="24"/>
          <w:lang w:val="es-ES"/>
        </w:rPr>
        <w:t>Daciel</w:t>
      </w:r>
      <w:proofErr w:type="spellEnd"/>
      <w:r w:rsidRPr="3831A2B4">
        <w:rPr>
          <w:rFonts w:ascii="Bookman Old Style" w:eastAsia="Bookman Old Style" w:hAnsi="Bookman Old Style" w:cs="Bookman Old Style"/>
          <w:i/>
          <w:iCs/>
          <w:color w:val="000000" w:themeColor="text1"/>
          <w:sz w:val="24"/>
          <w:szCs w:val="24"/>
          <w:lang w:val="es-ES"/>
        </w:rPr>
        <w:t xml:space="preserve"> Mercedes Brisneda Romero, quienes se reconocen como residentes del primer piso del citado inmueble, al colocar un seguro a una de las chapas, y de esta forma impedir que sacaran sus pertenencias, viéndose obligadas a buscar otro sitio donde vivir</w:t>
      </w:r>
      <w:r w:rsidRPr="3831A2B4">
        <w:rPr>
          <w:rFonts w:ascii="Bookman Old Style" w:eastAsia="Bookman Old Style" w:hAnsi="Bookman Old Style" w:cs="Bookman Old Style"/>
          <w:i/>
          <w:iCs/>
          <w:color w:val="000000" w:themeColor="text1"/>
          <w:sz w:val="28"/>
          <w:szCs w:val="28"/>
          <w:lang w:val="es-ES"/>
        </w:rPr>
        <w:t>.</w:t>
      </w:r>
    </w:p>
    <w:p w14:paraId="00000011" w14:textId="77777777" w:rsidR="007300CD" w:rsidRDefault="007300CD">
      <w:pPr>
        <w:pBdr>
          <w:top w:val="nil"/>
          <w:left w:val="nil"/>
          <w:bottom w:val="nil"/>
          <w:right w:val="nil"/>
          <w:between w:val="nil"/>
        </w:pBdr>
        <w:spacing w:after="0" w:line="360" w:lineRule="auto"/>
        <w:ind w:left="709"/>
        <w:jc w:val="both"/>
        <w:rPr>
          <w:rFonts w:ascii="Bookman Old Style" w:eastAsia="Bookman Old Style" w:hAnsi="Bookman Old Style" w:cs="Bookman Old Style"/>
          <w:i/>
          <w:iCs/>
          <w:color w:val="000000"/>
          <w:sz w:val="28"/>
          <w:szCs w:val="28"/>
        </w:rPr>
      </w:pPr>
    </w:p>
    <w:p w14:paraId="00000012" w14:textId="77777777" w:rsidR="007300CD" w:rsidRDefault="00000000">
      <w:pPr>
        <w:numPr>
          <w:ilvl w:val="0"/>
          <w:numId w:val="1"/>
        </w:numPr>
        <w:pBdr>
          <w:top w:val="nil"/>
          <w:left w:val="nil"/>
          <w:bottom w:val="nil"/>
          <w:right w:val="nil"/>
          <w:between w:val="nil"/>
        </w:pBdr>
        <w:spacing w:after="0" w:line="360" w:lineRule="auto"/>
        <w:ind w:left="0" w:firstLine="0"/>
        <w:jc w:val="center"/>
        <w:rPr>
          <w:rFonts w:ascii="Bookman Old Style" w:eastAsia="Bookman Old Style" w:hAnsi="Bookman Old Style" w:cs="Bookman Old Style"/>
          <w:b/>
          <w:bCs/>
          <w:color w:val="000000"/>
          <w:sz w:val="28"/>
          <w:szCs w:val="28"/>
        </w:rPr>
      </w:pPr>
      <w:r>
        <w:rPr>
          <w:rFonts w:ascii="Bookman Old Style" w:eastAsia="Bookman Old Style" w:hAnsi="Bookman Old Style" w:cs="Bookman Old Style"/>
          <w:b/>
          <w:bCs/>
          <w:color w:val="000000"/>
          <w:sz w:val="28"/>
          <w:szCs w:val="28"/>
        </w:rPr>
        <w:t>ACTUACIÓN RELEVANTE</w:t>
      </w:r>
    </w:p>
    <w:p w14:paraId="00000013" w14:textId="77777777" w:rsidR="007300CD" w:rsidRDefault="007300CD">
      <w:pPr>
        <w:pBdr>
          <w:top w:val="nil"/>
          <w:left w:val="nil"/>
          <w:bottom w:val="nil"/>
          <w:right w:val="nil"/>
          <w:between w:val="nil"/>
        </w:pBdr>
        <w:spacing w:after="0" w:line="360" w:lineRule="auto"/>
        <w:rPr>
          <w:rFonts w:ascii="Bookman Old Style" w:eastAsia="Bookman Old Style" w:hAnsi="Bookman Old Style" w:cs="Bookman Old Style"/>
          <w:b/>
          <w:bCs/>
          <w:color w:val="000000"/>
          <w:sz w:val="28"/>
          <w:szCs w:val="28"/>
        </w:rPr>
      </w:pPr>
    </w:p>
    <w:p w14:paraId="00000014" w14:textId="4189A335" w:rsidR="007300CD" w:rsidRDefault="3831A2B4" w:rsidP="3831A2B4">
      <w:pPr>
        <w:numPr>
          <w:ilvl w:val="0"/>
          <w:numId w:val="2"/>
        </w:numPr>
        <w:pBdr>
          <w:top w:val="nil"/>
          <w:left w:val="nil"/>
          <w:bottom w:val="nil"/>
          <w:right w:val="nil"/>
          <w:between w:val="nil"/>
        </w:pBdr>
        <w:spacing w:after="0" w:line="360" w:lineRule="auto"/>
        <w:ind w:left="0" w:firstLine="708"/>
        <w:jc w:val="both"/>
        <w:rPr>
          <w:rFonts w:ascii="Bookman Old Style" w:eastAsia="Bookman Old Style" w:hAnsi="Bookman Old Style" w:cs="Bookman Old Style"/>
          <w:color w:val="000000"/>
          <w:sz w:val="28"/>
          <w:szCs w:val="28"/>
          <w:lang w:val="es-ES"/>
        </w:rPr>
      </w:pPr>
      <w:r w:rsidRPr="3831A2B4">
        <w:rPr>
          <w:rFonts w:ascii="Bookman Old Style" w:eastAsia="Bookman Old Style" w:hAnsi="Bookman Old Style" w:cs="Bookman Old Style"/>
          <w:color w:val="000000"/>
          <w:sz w:val="28"/>
          <w:szCs w:val="28"/>
          <w:lang w:val="es-ES"/>
        </w:rPr>
        <w:t xml:space="preserve">El 30 de julio del 2021, </w:t>
      </w:r>
      <w:r w:rsidRPr="3831A2B4">
        <w:rPr>
          <w:rFonts w:ascii="Bookman Old Style" w:eastAsia="Bookman Old Style" w:hAnsi="Bookman Old Style" w:cs="Bookman Old Style"/>
          <w:color w:val="000000" w:themeColor="text1"/>
          <w:sz w:val="28"/>
          <w:szCs w:val="28"/>
          <w:lang w:val="es-ES"/>
        </w:rPr>
        <w:t>de acuerdo con lo previsto en el artículo 13 de la Ley 1826 de 2017, la Fiscalía corrió traslado del escrito de acusación</w:t>
      </w:r>
      <w:r w:rsidRPr="3831A2B4">
        <w:rPr>
          <w:rFonts w:ascii="Bookman Old Style" w:eastAsia="Bookman Old Style" w:hAnsi="Bookman Old Style" w:cs="Bookman Old Style"/>
          <w:color w:val="000000" w:themeColor="text1"/>
          <w:sz w:val="28"/>
          <w:szCs w:val="28"/>
          <w:vertAlign w:val="superscript"/>
          <w:lang w:val="es-ES"/>
        </w:rPr>
        <w:footnoteReference w:id="1"/>
      </w:r>
      <w:r w:rsidRPr="3831A2B4">
        <w:rPr>
          <w:rFonts w:ascii="Bookman Old Style" w:eastAsia="Bookman Old Style" w:hAnsi="Bookman Old Style" w:cs="Bookman Old Style"/>
          <w:color w:val="000000" w:themeColor="text1"/>
          <w:sz w:val="28"/>
          <w:szCs w:val="28"/>
          <w:lang w:val="es-ES"/>
        </w:rPr>
        <w:t xml:space="preserve"> a DIEGO ORLANDO RIVERA RODRÍGUEZ como autor del delito de </w:t>
      </w:r>
      <w:r w:rsidRPr="3831A2B4">
        <w:rPr>
          <w:rFonts w:ascii="Bookman Old Style" w:eastAsia="Bookman Old Style" w:hAnsi="Bookman Old Style" w:cs="Bookman Old Style"/>
          <w:i/>
          <w:iCs/>
          <w:color w:val="000000" w:themeColor="text1"/>
          <w:sz w:val="28"/>
          <w:szCs w:val="28"/>
          <w:lang w:val="es-ES"/>
        </w:rPr>
        <w:t>perturbación de la posesión sobre inmueble</w:t>
      </w:r>
      <w:r w:rsidRPr="3831A2B4">
        <w:rPr>
          <w:rFonts w:ascii="Bookman Old Style" w:eastAsia="Bookman Old Style" w:hAnsi="Bookman Old Style" w:cs="Bookman Old Style"/>
          <w:color w:val="000000" w:themeColor="text1"/>
          <w:sz w:val="28"/>
          <w:szCs w:val="28"/>
          <w:lang w:val="es-ES"/>
        </w:rPr>
        <w:t xml:space="preserve">; cargo que no aceptó. </w:t>
      </w:r>
    </w:p>
    <w:p w14:paraId="00000015" w14:textId="77777777" w:rsidR="007300CD" w:rsidRDefault="007300CD">
      <w:pPr>
        <w:pBdr>
          <w:top w:val="nil"/>
          <w:left w:val="nil"/>
          <w:bottom w:val="nil"/>
          <w:right w:val="nil"/>
          <w:between w:val="nil"/>
        </w:pBdr>
        <w:spacing w:after="0" w:line="360" w:lineRule="auto"/>
        <w:ind w:left="708"/>
        <w:jc w:val="both"/>
        <w:rPr>
          <w:rFonts w:ascii="Bookman Old Style" w:eastAsia="Bookman Old Style" w:hAnsi="Bookman Old Style" w:cs="Bookman Old Style"/>
          <w:color w:val="000000"/>
          <w:sz w:val="28"/>
          <w:szCs w:val="28"/>
        </w:rPr>
      </w:pPr>
    </w:p>
    <w:p w14:paraId="00000016" w14:textId="77777777" w:rsidR="007300CD" w:rsidRDefault="00000000">
      <w:pPr>
        <w:numPr>
          <w:ilvl w:val="0"/>
          <w:numId w:val="2"/>
        </w:numPr>
        <w:pBdr>
          <w:top w:val="nil"/>
          <w:left w:val="nil"/>
          <w:bottom w:val="nil"/>
          <w:right w:val="nil"/>
          <w:between w:val="nil"/>
        </w:pBdr>
        <w:spacing w:after="0" w:line="360" w:lineRule="auto"/>
        <w:ind w:left="0" w:firstLine="708"/>
        <w:jc w:val="both"/>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sz w:val="28"/>
          <w:szCs w:val="28"/>
        </w:rPr>
        <w:t>El 10 de noviembre de 2021, se desarrolló la audiencia concentrada</w:t>
      </w:r>
      <w:r>
        <w:rPr>
          <w:rFonts w:ascii="Bookman Old Style" w:eastAsia="Bookman Old Style" w:hAnsi="Bookman Old Style" w:cs="Bookman Old Style"/>
          <w:color w:val="000000"/>
          <w:sz w:val="28"/>
          <w:szCs w:val="28"/>
          <w:vertAlign w:val="superscript"/>
        </w:rPr>
        <w:footnoteReference w:id="2"/>
      </w:r>
      <w:r>
        <w:rPr>
          <w:rFonts w:ascii="Bookman Old Style" w:eastAsia="Bookman Old Style" w:hAnsi="Bookman Old Style" w:cs="Bookman Old Style"/>
          <w:color w:val="000000"/>
          <w:sz w:val="28"/>
          <w:szCs w:val="28"/>
        </w:rPr>
        <w:t>. El juicio oral se adelantó en sesiones del 16 de marzo, 24 de agosto, 5 de octubre de 2022, 8 de marzo, 31 de mayo y 6 de septiembre de 2023</w:t>
      </w:r>
      <w:r>
        <w:rPr>
          <w:rFonts w:ascii="Bookman Old Style" w:eastAsia="Bookman Old Style" w:hAnsi="Bookman Old Style" w:cs="Bookman Old Style"/>
          <w:color w:val="000000"/>
          <w:sz w:val="28"/>
          <w:szCs w:val="28"/>
          <w:vertAlign w:val="superscript"/>
        </w:rPr>
        <w:footnoteReference w:id="3"/>
      </w:r>
      <w:r>
        <w:rPr>
          <w:rFonts w:ascii="Bookman Old Style" w:eastAsia="Bookman Old Style" w:hAnsi="Bookman Old Style" w:cs="Bookman Old Style"/>
          <w:color w:val="000000"/>
          <w:sz w:val="28"/>
          <w:szCs w:val="28"/>
        </w:rPr>
        <w:t>, fecha última en la que se emitió sentido de fallo de carácter condenatorio.</w:t>
      </w:r>
    </w:p>
    <w:p w14:paraId="00000017" w14:textId="77777777" w:rsidR="007300CD" w:rsidRDefault="007300CD">
      <w:pPr>
        <w:pBdr>
          <w:top w:val="nil"/>
          <w:left w:val="nil"/>
          <w:bottom w:val="nil"/>
          <w:right w:val="nil"/>
          <w:between w:val="nil"/>
        </w:pBdr>
        <w:spacing w:after="0" w:line="360" w:lineRule="auto"/>
        <w:ind w:left="708"/>
        <w:jc w:val="both"/>
        <w:rPr>
          <w:rFonts w:ascii="Bookman Old Style" w:eastAsia="Bookman Old Style" w:hAnsi="Bookman Old Style" w:cs="Bookman Old Style"/>
          <w:color w:val="000000"/>
          <w:sz w:val="28"/>
          <w:szCs w:val="28"/>
        </w:rPr>
      </w:pPr>
    </w:p>
    <w:p w14:paraId="00000018" w14:textId="578161AA" w:rsidR="007300CD" w:rsidRDefault="00000000">
      <w:pPr>
        <w:numPr>
          <w:ilvl w:val="0"/>
          <w:numId w:val="2"/>
        </w:numPr>
        <w:pBdr>
          <w:top w:val="nil"/>
          <w:left w:val="nil"/>
          <w:bottom w:val="nil"/>
          <w:right w:val="nil"/>
          <w:between w:val="nil"/>
        </w:pBdr>
        <w:spacing w:after="0" w:line="360" w:lineRule="auto"/>
        <w:ind w:left="0" w:firstLine="708"/>
        <w:jc w:val="both"/>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sz w:val="28"/>
          <w:szCs w:val="28"/>
        </w:rPr>
        <w:t>El 6 de octubre de 2023 el Juzgado Dieciséis Penal Municipal de Conocimiento de Bogotá, condenó</w:t>
      </w:r>
      <w:r>
        <w:rPr>
          <w:rFonts w:ascii="Bookman Old Style" w:eastAsia="Bookman Old Style" w:hAnsi="Bookman Old Style" w:cs="Bookman Old Style"/>
          <w:color w:val="000000"/>
          <w:sz w:val="28"/>
          <w:szCs w:val="28"/>
          <w:vertAlign w:val="superscript"/>
        </w:rPr>
        <w:footnoteReference w:id="4"/>
      </w:r>
      <w:r>
        <w:rPr>
          <w:rFonts w:ascii="Bookman Old Style" w:eastAsia="Bookman Old Style" w:hAnsi="Bookman Old Style" w:cs="Bookman Old Style"/>
          <w:color w:val="000000"/>
          <w:sz w:val="28"/>
          <w:szCs w:val="28"/>
        </w:rPr>
        <w:t xml:space="preserve"> a DIEGO </w:t>
      </w:r>
      <w:r>
        <w:rPr>
          <w:rFonts w:ascii="Bookman Old Style" w:eastAsia="Bookman Old Style" w:hAnsi="Bookman Old Style" w:cs="Bookman Old Style"/>
          <w:color w:val="000000"/>
          <w:sz w:val="28"/>
          <w:szCs w:val="28"/>
        </w:rPr>
        <w:lastRenderedPageBreak/>
        <w:t xml:space="preserve">ORLANDO RIVERA RODRÍGUEZ, como autor del delito de perturbación de la posesión sobre inmueble a la pena principal de dieciséis (16) meses de prisión y multa equivalente a 6.66, </w:t>
      </w:r>
      <w:r>
        <w:rPr>
          <w:rFonts w:ascii="Bookman Old Style" w:eastAsia="Bookman Old Style" w:hAnsi="Bookman Old Style" w:cs="Bookman Old Style"/>
          <w:sz w:val="28"/>
          <w:szCs w:val="28"/>
        </w:rPr>
        <w:t>SMML</w:t>
      </w:r>
      <w:r>
        <w:rPr>
          <w:rFonts w:ascii="Bookman Old Style" w:eastAsia="Bookman Old Style" w:hAnsi="Bookman Old Style" w:cs="Bookman Old Style"/>
          <w:color w:val="000000"/>
          <w:sz w:val="28"/>
          <w:szCs w:val="28"/>
        </w:rPr>
        <w:t xml:space="preserve"> y la accesoria de inhabilitación para el ejercicio de los derechos y funciones públicas por el mismo lapso. Le concedió la suspensión de la ejecución de la pena por el periodo de dos (2) años. </w:t>
      </w:r>
    </w:p>
    <w:p w14:paraId="00000019" w14:textId="77777777" w:rsidR="007300CD" w:rsidRDefault="007300CD">
      <w:pPr>
        <w:pBdr>
          <w:top w:val="nil"/>
          <w:left w:val="nil"/>
          <w:bottom w:val="nil"/>
          <w:right w:val="nil"/>
          <w:between w:val="nil"/>
        </w:pBdr>
        <w:spacing w:after="0" w:line="360" w:lineRule="auto"/>
        <w:ind w:firstLine="708"/>
        <w:jc w:val="both"/>
        <w:rPr>
          <w:rFonts w:ascii="Bookman Old Style" w:eastAsia="Bookman Old Style" w:hAnsi="Bookman Old Style" w:cs="Bookman Old Style"/>
          <w:color w:val="000000"/>
          <w:sz w:val="28"/>
          <w:szCs w:val="28"/>
        </w:rPr>
      </w:pPr>
    </w:p>
    <w:p w14:paraId="0000001A" w14:textId="02A40E09" w:rsidR="007300CD" w:rsidRDefault="3831A2B4" w:rsidP="3831A2B4">
      <w:pPr>
        <w:numPr>
          <w:ilvl w:val="0"/>
          <w:numId w:val="2"/>
        </w:numPr>
        <w:pBdr>
          <w:top w:val="nil"/>
          <w:left w:val="nil"/>
          <w:bottom w:val="nil"/>
          <w:right w:val="nil"/>
          <w:between w:val="nil"/>
        </w:pBdr>
        <w:spacing w:after="0" w:line="360" w:lineRule="auto"/>
        <w:ind w:left="0" w:firstLine="708"/>
        <w:jc w:val="both"/>
        <w:rPr>
          <w:rFonts w:ascii="Bookman Old Style" w:eastAsia="Bookman Old Style" w:hAnsi="Bookman Old Style" w:cs="Bookman Old Style"/>
          <w:color w:val="000000"/>
          <w:sz w:val="28"/>
          <w:szCs w:val="28"/>
          <w:lang w:val="es-ES"/>
        </w:rPr>
      </w:pPr>
      <w:r w:rsidRPr="3831A2B4">
        <w:rPr>
          <w:rFonts w:ascii="Bookman Old Style" w:eastAsia="Bookman Old Style" w:hAnsi="Bookman Old Style" w:cs="Bookman Old Style"/>
          <w:color w:val="000000"/>
          <w:sz w:val="28"/>
          <w:szCs w:val="28"/>
          <w:lang w:val="es-ES"/>
        </w:rPr>
        <w:t xml:space="preserve">Presentado el recurso de apelación por parte </w:t>
      </w:r>
      <w:r w:rsidRPr="3831A2B4">
        <w:rPr>
          <w:rFonts w:ascii="Bookman Old Style" w:eastAsia="Bookman Old Style" w:hAnsi="Bookman Old Style" w:cs="Bookman Old Style"/>
          <w:sz w:val="28"/>
          <w:szCs w:val="28"/>
          <w:lang w:val="es-ES"/>
        </w:rPr>
        <w:t>de la</w:t>
      </w:r>
      <w:r w:rsidRPr="3831A2B4">
        <w:rPr>
          <w:rFonts w:ascii="Bookman Old Style" w:eastAsia="Bookman Old Style" w:hAnsi="Bookman Old Style" w:cs="Bookman Old Style"/>
          <w:color w:val="000000"/>
          <w:sz w:val="28"/>
          <w:szCs w:val="28"/>
          <w:lang w:val="es-ES"/>
        </w:rPr>
        <w:t xml:space="preserve"> defensa, el 5 de junio de 2024, la Sala Penal del Tribunal Superior de Bogotá revocó el fallo condenatorio y absolvió a DIEGO ORLANDO RIVERA RODRÍGUEZ.</w:t>
      </w:r>
      <w:r w:rsidRPr="3831A2B4">
        <w:rPr>
          <w:rFonts w:ascii="Bookman Old Style" w:eastAsia="Bookman Old Style" w:hAnsi="Bookman Old Style" w:cs="Bookman Old Style"/>
          <w:color w:val="000000" w:themeColor="text1"/>
          <w:sz w:val="28"/>
          <w:szCs w:val="28"/>
          <w:vertAlign w:val="superscript"/>
          <w:lang w:val="es-ES"/>
        </w:rPr>
        <w:footnoteReference w:id="5"/>
      </w:r>
    </w:p>
    <w:p w14:paraId="0000001B" w14:textId="77777777" w:rsidR="007300CD" w:rsidRPr="000825C7" w:rsidRDefault="007300CD">
      <w:pPr>
        <w:pBdr>
          <w:top w:val="nil"/>
          <w:left w:val="nil"/>
          <w:bottom w:val="nil"/>
          <w:right w:val="nil"/>
          <w:between w:val="nil"/>
        </w:pBdr>
        <w:spacing w:after="0" w:line="360" w:lineRule="auto"/>
        <w:ind w:firstLine="708"/>
        <w:jc w:val="both"/>
        <w:rPr>
          <w:rFonts w:ascii="Bookman Old Style" w:eastAsia="Bookman Old Style" w:hAnsi="Bookman Old Style" w:cs="Bookman Old Style"/>
          <w:color w:val="000000"/>
          <w:sz w:val="28"/>
          <w:szCs w:val="28"/>
          <w:lang w:val="es-ES"/>
        </w:rPr>
      </w:pPr>
    </w:p>
    <w:p w14:paraId="0000001C" w14:textId="77777777" w:rsidR="007300CD" w:rsidRDefault="00000000">
      <w:pPr>
        <w:numPr>
          <w:ilvl w:val="0"/>
          <w:numId w:val="2"/>
        </w:numPr>
        <w:pBdr>
          <w:top w:val="nil"/>
          <w:left w:val="nil"/>
          <w:bottom w:val="nil"/>
          <w:right w:val="nil"/>
          <w:between w:val="nil"/>
        </w:pBdr>
        <w:spacing w:after="0" w:line="360" w:lineRule="auto"/>
        <w:ind w:left="0" w:firstLine="708"/>
        <w:jc w:val="both"/>
        <w:rPr>
          <w:rFonts w:ascii="Bookman Old Style" w:eastAsia="Bookman Old Style" w:hAnsi="Bookman Old Style" w:cs="Bookman Old Style"/>
          <w:b/>
          <w:bCs/>
          <w:color w:val="000000"/>
          <w:sz w:val="28"/>
          <w:szCs w:val="28"/>
        </w:rPr>
      </w:pPr>
      <w:r>
        <w:rPr>
          <w:rFonts w:ascii="Bookman Old Style" w:eastAsia="Bookman Old Style" w:hAnsi="Bookman Old Style" w:cs="Bookman Old Style"/>
          <w:color w:val="000000"/>
          <w:sz w:val="28"/>
          <w:szCs w:val="28"/>
        </w:rPr>
        <w:t xml:space="preserve">Contra la decisión de segunda instancia, la apoderada de víctimas interpuso y </w:t>
      </w:r>
      <w:r>
        <w:rPr>
          <w:rFonts w:ascii="Bookman Old Style" w:eastAsia="Bookman Old Style" w:hAnsi="Bookman Old Style" w:cs="Bookman Old Style"/>
          <w:sz w:val="28"/>
          <w:szCs w:val="28"/>
        </w:rPr>
        <w:t>sustentó</w:t>
      </w:r>
      <w:r>
        <w:rPr>
          <w:rFonts w:ascii="Bookman Old Style" w:eastAsia="Bookman Old Style" w:hAnsi="Bookman Old Style" w:cs="Bookman Old Style"/>
          <w:color w:val="000000"/>
          <w:sz w:val="28"/>
          <w:szCs w:val="28"/>
        </w:rPr>
        <w:t xml:space="preserve"> el recurso extraordinario de casación</w:t>
      </w:r>
      <w:r>
        <w:rPr>
          <w:rFonts w:ascii="Bookman Old Style" w:eastAsia="Bookman Old Style" w:hAnsi="Bookman Old Style" w:cs="Bookman Old Style"/>
          <w:color w:val="000000"/>
          <w:sz w:val="28"/>
          <w:szCs w:val="28"/>
          <w:vertAlign w:val="superscript"/>
        </w:rPr>
        <w:footnoteReference w:id="6"/>
      </w:r>
      <w:r>
        <w:rPr>
          <w:rFonts w:ascii="Bookman Old Style" w:eastAsia="Bookman Old Style" w:hAnsi="Bookman Old Style" w:cs="Bookman Old Style"/>
          <w:color w:val="000000"/>
          <w:sz w:val="28"/>
          <w:szCs w:val="28"/>
        </w:rPr>
        <w:t xml:space="preserve">. </w:t>
      </w:r>
    </w:p>
    <w:p w14:paraId="0000001D" w14:textId="77777777" w:rsidR="007300CD" w:rsidRDefault="007300CD">
      <w:pPr>
        <w:pBdr>
          <w:top w:val="nil"/>
          <w:left w:val="nil"/>
          <w:bottom w:val="nil"/>
          <w:right w:val="nil"/>
          <w:between w:val="nil"/>
        </w:pBdr>
        <w:spacing w:after="0" w:line="240" w:lineRule="auto"/>
        <w:ind w:left="720"/>
        <w:rPr>
          <w:rFonts w:ascii="Bookman Old Style" w:eastAsia="Bookman Old Style" w:hAnsi="Bookman Old Style" w:cs="Bookman Old Style"/>
          <w:color w:val="000000"/>
          <w:sz w:val="28"/>
          <w:szCs w:val="28"/>
        </w:rPr>
      </w:pPr>
    </w:p>
    <w:p w14:paraId="0000001E" w14:textId="2A7570F0" w:rsidR="007300CD" w:rsidRDefault="3831A2B4" w:rsidP="3831A2B4">
      <w:pPr>
        <w:numPr>
          <w:ilvl w:val="0"/>
          <w:numId w:val="2"/>
        </w:numPr>
        <w:pBdr>
          <w:top w:val="nil"/>
          <w:left w:val="nil"/>
          <w:bottom w:val="nil"/>
          <w:right w:val="nil"/>
          <w:between w:val="nil"/>
        </w:pBdr>
        <w:spacing w:after="0" w:line="360" w:lineRule="auto"/>
        <w:ind w:left="0" w:firstLine="708"/>
        <w:jc w:val="both"/>
        <w:rPr>
          <w:rFonts w:ascii="Bookman Old Style" w:eastAsia="Bookman Old Style" w:hAnsi="Bookman Old Style" w:cs="Bookman Old Style"/>
          <w:color w:val="000000"/>
          <w:sz w:val="28"/>
          <w:szCs w:val="28"/>
          <w:lang w:val="es-ES"/>
        </w:rPr>
      </w:pPr>
      <w:r w:rsidRPr="3831A2B4">
        <w:rPr>
          <w:rFonts w:ascii="Bookman Old Style" w:eastAsia="Bookman Old Style" w:hAnsi="Bookman Old Style" w:cs="Bookman Old Style"/>
          <w:color w:val="000000"/>
          <w:sz w:val="28"/>
          <w:szCs w:val="28"/>
          <w:lang w:val="es-ES"/>
        </w:rPr>
        <w:t xml:space="preserve">Encontrándose en estudio la demanda de casación   en esta Corporación, la </w:t>
      </w:r>
      <w:r w:rsidR="000825C7" w:rsidRPr="3831A2B4">
        <w:rPr>
          <w:rFonts w:ascii="Bookman Old Style" w:eastAsia="Bookman Old Style" w:hAnsi="Bookman Old Style" w:cs="Bookman Old Style"/>
          <w:color w:val="000000" w:themeColor="text1"/>
          <w:sz w:val="28"/>
          <w:szCs w:val="28"/>
          <w:lang w:val="es-ES"/>
        </w:rPr>
        <w:t>secretaria</w:t>
      </w:r>
      <w:r w:rsidRPr="3831A2B4">
        <w:rPr>
          <w:rFonts w:ascii="Bookman Old Style" w:eastAsia="Bookman Old Style" w:hAnsi="Bookman Old Style" w:cs="Bookman Old Style"/>
          <w:color w:val="000000" w:themeColor="text1"/>
          <w:sz w:val="28"/>
          <w:szCs w:val="28"/>
          <w:lang w:val="es-ES"/>
        </w:rPr>
        <w:t xml:space="preserve"> de la Sala remitió el registro civil de defunción </w:t>
      </w:r>
      <w:proofErr w:type="spellStart"/>
      <w:r w:rsidRPr="3831A2B4">
        <w:rPr>
          <w:rFonts w:ascii="Bookman Old Style" w:eastAsia="Bookman Old Style" w:hAnsi="Bookman Old Style" w:cs="Bookman Old Style"/>
          <w:color w:val="000000" w:themeColor="text1"/>
          <w:sz w:val="28"/>
          <w:szCs w:val="28"/>
          <w:lang w:val="es-ES"/>
        </w:rPr>
        <w:t>n.°</w:t>
      </w:r>
      <w:proofErr w:type="spellEnd"/>
      <w:r w:rsidRPr="3831A2B4">
        <w:rPr>
          <w:rFonts w:ascii="Bookman Old Style" w:eastAsia="Bookman Old Style" w:hAnsi="Bookman Old Style" w:cs="Bookman Old Style"/>
          <w:color w:val="000000" w:themeColor="text1"/>
          <w:sz w:val="28"/>
          <w:szCs w:val="28"/>
          <w:lang w:val="es-ES"/>
        </w:rPr>
        <w:t xml:space="preserve"> 11198902</w:t>
      </w:r>
      <w:r w:rsidRPr="3831A2B4">
        <w:rPr>
          <w:rFonts w:ascii="Bookman Old Style" w:eastAsia="Bookman Old Style" w:hAnsi="Bookman Old Style" w:cs="Bookman Old Style"/>
          <w:color w:val="000000" w:themeColor="text1"/>
          <w:sz w:val="28"/>
          <w:szCs w:val="28"/>
          <w:vertAlign w:val="superscript"/>
          <w:lang w:val="es-ES"/>
        </w:rPr>
        <w:footnoteReference w:id="7"/>
      </w:r>
      <w:r w:rsidRPr="3831A2B4">
        <w:rPr>
          <w:rFonts w:ascii="Bookman Old Style" w:eastAsia="Bookman Old Style" w:hAnsi="Bookman Old Style" w:cs="Bookman Old Style"/>
          <w:color w:val="000000"/>
          <w:sz w:val="28"/>
          <w:szCs w:val="28"/>
          <w:lang w:val="es-ES"/>
        </w:rPr>
        <w:t xml:space="preserve">. de DIEGO ORLANDO RIVERA RODRÍGUEZ, el cual, fue enviado por la Registraduría Nacional del Estado Civil. </w:t>
      </w:r>
    </w:p>
    <w:p w14:paraId="0000001F" w14:textId="77777777" w:rsidR="007300CD" w:rsidRDefault="007300CD">
      <w:pPr>
        <w:pBdr>
          <w:top w:val="nil"/>
          <w:left w:val="nil"/>
          <w:bottom w:val="nil"/>
          <w:right w:val="nil"/>
          <w:between w:val="nil"/>
        </w:pBdr>
        <w:spacing w:after="0" w:line="360" w:lineRule="auto"/>
        <w:jc w:val="both"/>
        <w:rPr>
          <w:rFonts w:ascii="Bookman Old Style" w:eastAsia="Bookman Old Style" w:hAnsi="Bookman Old Style" w:cs="Bookman Old Style"/>
          <w:b/>
          <w:bCs/>
          <w:color w:val="000000"/>
          <w:sz w:val="28"/>
          <w:szCs w:val="28"/>
        </w:rPr>
      </w:pPr>
    </w:p>
    <w:p w14:paraId="00000020" w14:textId="77777777" w:rsidR="007300CD" w:rsidRDefault="007300CD">
      <w:pPr>
        <w:pBdr>
          <w:top w:val="nil"/>
          <w:left w:val="nil"/>
          <w:bottom w:val="nil"/>
          <w:right w:val="nil"/>
          <w:between w:val="nil"/>
        </w:pBdr>
        <w:spacing w:after="0" w:line="240" w:lineRule="auto"/>
        <w:ind w:left="720"/>
        <w:rPr>
          <w:rFonts w:ascii="Bookman Old Style" w:eastAsia="Bookman Old Style" w:hAnsi="Bookman Old Style" w:cs="Bookman Old Style"/>
          <w:color w:val="000000"/>
          <w:sz w:val="28"/>
          <w:szCs w:val="28"/>
        </w:rPr>
      </w:pPr>
    </w:p>
    <w:p w14:paraId="00000021" w14:textId="77777777" w:rsidR="007300CD" w:rsidRDefault="00000000">
      <w:pPr>
        <w:numPr>
          <w:ilvl w:val="0"/>
          <w:numId w:val="1"/>
        </w:numPr>
        <w:pBdr>
          <w:top w:val="nil"/>
          <w:left w:val="nil"/>
          <w:bottom w:val="nil"/>
          <w:right w:val="nil"/>
          <w:between w:val="nil"/>
        </w:pBdr>
        <w:spacing w:after="0" w:line="360" w:lineRule="auto"/>
        <w:ind w:left="0" w:firstLine="0"/>
        <w:jc w:val="center"/>
        <w:rPr>
          <w:rFonts w:ascii="Bookman Old Style" w:eastAsia="Bookman Old Style" w:hAnsi="Bookman Old Style" w:cs="Bookman Old Style"/>
          <w:b/>
          <w:bCs/>
          <w:color w:val="000000"/>
          <w:sz w:val="28"/>
          <w:szCs w:val="28"/>
        </w:rPr>
      </w:pPr>
      <w:r>
        <w:rPr>
          <w:rFonts w:ascii="Bookman Old Style" w:eastAsia="Bookman Old Style" w:hAnsi="Bookman Old Style" w:cs="Bookman Old Style"/>
          <w:b/>
          <w:bCs/>
          <w:color w:val="000000"/>
          <w:sz w:val="28"/>
          <w:szCs w:val="28"/>
        </w:rPr>
        <w:t xml:space="preserve">CONSIDERACIONES </w:t>
      </w:r>
    </w:p>
    <w:p w14:paraId="00000023" w14:textId="77777777" w:rsidR="007300CD" w:rsidRDefault="00000000">
      <w:pPr>
        <w:numPr>
          <w:ilvl w:val="0"/>
          <w:numId w:val="2"/>
        </w:numPr>
        <w:pBdr>
          <w:top w:val="nil"/>
          <w:left w:val="nil"/>
          <w:bottom w:val="nil"/>
          <w:right w:val="nil"/>
          <w:between w:val="nil"/>
        </w:pBdr>
        <w:spacing w:after="0" w:line="360" w:lineRule="auto"/>
        <w:ind w:left="0" w:firstLine="708"/>
        <w:jc w:val="both"/>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sz w:val="28"/>
          <w:szCs w:val="28"/>
        </w:rPr>
        <w:t>Los artículos 77 de la Ley 906 de 2004 y 82 numeral 1º del Código Penal, contempla como causal de extinción de la acción penal la muerte del procesado.</w:t>
      </w:r>
    </w:p>
    <w:p w14:paraId="00000025" w14:textId="77777777" w:rsidR="007300CD" w:rsidRDefault="00000000">
      <w:pPr>
        <w:numPr>
          <w:ilvl w:val="0"/>
          <w:numId w:val="2"/>
        </w:numPr>
        <w:pBdr>
          <w:top w:val="nil"/>
          <w:left w:val="nil"/>
          <w:bottom w:val="nil"/>
          <w:right w:val="nil"/>
          <w:between w:val="nil"/>
        </w:pBdr>
        <w:spacing w:after="0" w:line="336" w:lineRule="auto"/>
        <w:ind w:left="0" w:firstLine="491"/>
        <w:jc w:val="both"/>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sz w:val="28"/>
          <w:szCs w:val="28"/>
        </w:rPr>
        <w:lastRenderedPageBreak/>
        <w:t>Así mismo, de conformidad con el artículo 332-1 del Código de Procedimiento Penal la preclusión procede en casos de imposibilidad de continuar con el ejercicio de la acción penal.</w:t>
      </w:r>
    </w:p>
    <w:p w14:paraId="00000026" w14:textId="77777777" w:rsidR="007300CD" w:rsidRDefault="007300CD">
      <w:pPr>
        <w:pBdr>
          <w:top w:val="nil"/>
          <w:left w:val="nil"/>
          <w:bottom w:val="nil"/>
          <w:right w:val="nil"/>
          <w:between w:val="nil"/>
        </w:pBdr>
        <w:spacing w:after="0" w:line="336" w:lineRule="auto"/>
        <w:ind w:left="927"/>
        <w:jc w:val="both"/>
        <w:rPr>
          <w:rFonts w:ascii="Bookman Old Style" w:eastAsia="Bookman Old Style" w:hAnsi="Bookman Old Style" w:cs="Bookman Old Style"/>
          <w:color w:val="000000"/>
          <w:sz w:val="28"/>
          <w:szCs w:val="28"/>
        </w:rPr>
      </w:pPr>
    </w:p>
    <w:p w14:paraId="00000027" w14:textId="77777777" w:rsidR="007300CD" w:rsidRDefault="00000000">
      <w:pPr>
        <w:numPr>
          <w:ilvl w:val="0"/>
          <w:numId w:val="2"/>
        </w:numPr>
        <w:pBdr>
          <w:top w:val="nil"/>
          <w:left w:val="nil"/>
          <w:bottom w:val="nil"/>
          <w:right w:val="nil"/>
          <w:between w:val="nil"/>
        </w:pBdr>
        <w:spacing w:after="0" w:line="336" w:lineRule="auto"/>
        <w:ind w:left="0" w:firstLine="709"/>
        <w:jc w:val="both"/>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sz w:val="28"/>
          <w:szCs w:val="28"/>
        </w:rPr>
        <w:t xml:space="preserve">El fallecimiento del procesado es una de las circunstancias que le impiden al Estado proseguir con el ejercicio de la acción y la actuación penal.  </w:t>
      </w:r>
    </w:p>
    <w:p w14:paraId="00000028" w14:textId="77777777" w:rsidR="007300CD" w:rsidRDefault="007300CD">
      <w:pPr>
        <w:pBdr>
          <w:top w:val="nil"/>
          <w:left w:val="nil"/>
          <w:bottom w:val="nil"/>
          <w:right w:val="nil"/>
          <w:between w:val="nil"/>
        </w:pBdr>
        <w:spacing w:after="0" w:line="360" w:lineRule="auto"/>
        <w:ind w:left="708"/>
        <w:jc w:val="both"/>
        <w:rPr>
          <w:rFonts w:ascii="Bookman Old Style" w:eastAsia="Bookman Old Style" w:hAnsi="Bookman Old Style" w:cs="Bookman Old Style"/>
          <w:color w:val="000000"/>
          <w:sz w:val="28"/>
          <w:szCs w:val="28"/>
        </w:rPr>
      </w:pPr>
    </w:p>
    <w:p w14:paraId="00000029" w14:textId="77777777" w:rsidR="007300CD" w:rsidRDefault="3831A2B4" w:rsidP="3831A2B4">
      <w:pPr>
        <w:numPr>
          <w:ilvl w:val="0"/>
          <w:numId w:val="2"/>
        </w:numPr>
        <w:pBdr>
          <w:top w:val="nil"/>
          <w:left w:val="nil"/>
          <w:bottom w:val="nil"/>
          <w:right w:val="nil"/>
          <w:between w:val="nil"/>
        </w:pBdr>
        <w:spacing w:after="0" w:line="360" w:lineRule="auto"/>
        <w:ind w:left="0" w:firstLine="708"/>
        <w:jc w:val="both"/>
        <w:rPr>
          <w:rFonts w:ascii="Bookman Old Style" w:eastAsia="Bookman Old Style" w:hAnsi="Bookman Old Style" w:cs="Bookman Old Style"/>
          <w:color w:val="000000"/>
          <w:sz w:val="28"/>
          <w:szCs w:val="28"/>
          <w:lang w:val="es-ES"/>
        </w:rPr>
      </w:pPr>
      <w:r w:rsidRPr="3831A2B4">
        <w:rPr>
          <w:rFonts w:ascii="Bookman Old Style" w:eastAsia="Bookman Old Style" w:hAnsi="Bookman Old Style" w:cs="Bookman Old Style"/>
          <w:color w:val="000000" w:themeColor="text1"/>
          <w:sz w:val="28"/>
          <w:szCs w:val="28"/>
          <w:lang w:val="es-ES"/>
        </w:rPr>
        <w:t xml:space="preserve">En el asunto, se constata que DIEGO ORLANDO RIVERA RODRÍGUEZ, quien se identificaba con la C.C. No. Xxxx0078, falleció el 14 de septiembre de 2024, tal como consta en el registro civil de defunción indicativo serial </w:t>
      </w:r>
      <w:proofErr w:type="spellStart"/>
      <w:r w:rsidRPr="3831A2B4">
        <w:rPr>
          <w:rFonts w:ascii="Bookman Old Style" w:eastAsia="Bookman Old Style" w:hAnsi="Bookman Old Style" w:cs="Bookman Old Style"/>
          <w:color w:val="000000" w:themeColor="text1"/>
          <w:sz w:val="28"/>
          <w:szCs w:val="28"/>
          <w:lang w:val="es-ES"/>
        </w:rPr>
        <w:t>Nº</w:t>
      </w:r>
      <w:proofErr w:type="spellEnd"/>
      <w:r w:rsidRPr="3831A2B4">
        <w:rPr>
          <w:rFonts w:ascii="Bookman Old Style" w:eastAsia="Bookman Old Style" w:hAnsi="Bookman Old Style" w:cs="Bookman Old Style"/>
          <w:color w:val="000000" w:themeColor="text1"/>
          <w:sz w:val="28"/>
          <w:szCs w:val="28"/>
          <w:lang w:val="es-ES"/>
        </w:rPr>
        <w:t xml:space="preserve"> 11198902, remitido por la Registraduría Nacional del Estado Civil.</w:t>
      </w:r>
    </w:p>
    <w:p w14:paraId="0000002A" w14:textId="77777777" w:rsidR="007300CD" w:rsidRDefault="007300CD">
      <w:pPr>
        <w:pBdr>
          <w:top w:val="nil"/>
          <w:left w:val="nil"/>
          <w:bottom w:val="nil"/>
          <w:right w:val="nil"/>
          <w:between w:val="nil"/>
        </w:pBdr>
        <w:spacing w:after="0" w:line="240" w:lineRule="auto"/>
        <w:ind w:left="720"/>
        <w:rPr>
          <w:rFonts w:ascii="Bookman Old Style" w:eastAsia="Bookman Old Style" w:hAnsi="Bookman Old Style" w:cs="Bookman Old Style"/>
          <w:color w:val="000000"/>
          <w:sz w:val="28"/>
          <w:szCs w:val="28"/>
        </w:rPr>
      </w:pPr>
    </w:p>
    <w:p w14:paraId="0000002B" w14:textId="77777777" w:rsidR="007300CD" w:rsidRDefault="00000000">
      <w:pPr>
        <w:numPr>
          <w:ilvl w:val="0"/>
          <w:numId w:val="2"/>
        </w:numPr>
        <w:pBdr>
          <w:top w:val="nil"/>
          <w:left w:val="nil"/>
          <w:bottom w:val="nil"/>
          <w:right w:val="nil"/>
          <w:between w:val="nil"/>
        </w:pBdr>
        <w:spacing w:after="0" w:line="360" w:lineRule="auto"/>
        <w:ind w:left="0" w:firstLine="708"/>
        <w:jc w:val="both"/>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sz w:val="28"/>
          <w:szCs w:val="28"/>
        </w:rPr>
        <w:t>En consecuencia, acreditada la causal objetiva de extintiva de la extinción de la acción penal, la Sala declarará la preclusión de la acción penal adelantada contra DIEGO ORLANDO RIVERA RODRÍGUEZ y ordenará al juzgado de primera instancia efectuar las anotaciones, comunicaciones y cancelaciones a que haya lugar, derivadas de esta determinación.</w:t>
      </w:r>
    </w:p>
    <w:p w14:paraId="0000002C" w14:textId="77777777" w:rsidR="007300CD" w:rsidRDefault="007300CD"/>
    <w:p w14:paraId="0000002D" w14:textId="77777777" w:rsidR="007300CD" w:rsidRDefault="00000000">
      <w:pPr>
        <w:ind w:firstLine="709"/>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sz w:val="28"/>
          <w:szCs w:val="28"/>
        </w:rPr>
        <w:t xml:space="preserve">En mérito de lo expuesto, la Sala de Casación Penal de la Corte Suprema de Justicia, </w:t>
      </w:r>
    </w:p>
    <w:p w14:paraId="0000002E" w14:textId="77777777" w:rsidR="007300CD" w:rsidRDefault="007300CD">
      <w:pPr>
        <w:ind w:firstLine="709"/>
        <w:rPr>
          <w:rFonts w:ascii="Bookman Old Style" w:eastAsia="Bookman Old Style" w:hAnsi="Bookman Old Style" w:cs="Bookman Old Style"/>
          <w:color w:val="000000"/>
          <w:sz w:val="28"/>
          <w:szCs w:val="28"/>
        </w:rPr>
      </w:pPr>
    </w:p>
    <w:p w14:paraId="0000002F" w14:textId="77777777" w:rsidR="007300CD" w:rsidRDefault="00000000">
      <w:pPr>
        <w:keepNext/>
        <w:keepLines/>
        <w:pBdr>
          <w:top w:val="nil"/>
          <w:left w:val="nil"/>
          <w:bottom w:val="nil"/>
          <w:right w:val="nil"/>
          <w:between w:val="nil"/>
        </w:pBdr>
        <w:spacing w:after="0" w:line="360" w:lineRule="auto"/>
        <w:ind w:firstLine="567"/>
        <w:jc w:val="center"/>
        <w:rPr>
          <w:rFonts w:ascii="Bookman Old Style" w:eastAsia="Bookman Old Style" w:hAnsi="Bookman Old Style" w:cs="Bookman Old Style"/>
          <w:b/>
          <w:bCs/>
          <w:color w:val="000000"/>
          <w:sz w:val="28"/>
          <w:szCs w:val="28"/>
        </w:rPr>
      </w:pPr>
      <w:r>
        <w:rPr>
          <w:rFonts w:ascii="Bookman Old Style" w:eastAsia="Bookman Old Style" w:hAnsi="Bookman Old Style" w:cs="Bookman Old Style"/>
          <w:b/>
          <w:bCs/>
          <w:color w:val="000000"/>
          <w:sz w:val="28"/>
          <w:szCs w:val="28"/>
        </w:rPr>
        <w:t>RESUELVE</w:t>
      </w:r>
    </w:p>
    <w:p w14:paraId="00000031" w14:textId="77777777" w:rsidR="007300CD" w:rsidRDefault="00000000">
      <w:pPr>
        <w:spacing w:after="0" w:line="360" w:lineRule="auto"/>
        <w:ind w:firstLine="567"/>
        <w:jc w:val="both"/>
        <w:rPr>
          <w:rFonts w:ascii="Bookman Old Style" w:eastAsia="Bookman Old Style" w:hAnsi="Bookman Old Style" w:cs="Bookman Old Style"/>
          <w:sz w:val="28"/>
          <w:szCs w:val="28"/>
        </w:rPr>
      </w:pPr>
      <w:r>
        <w:rPr>
          <w:rFonts w:ascii="Bookman Old Style" w:eastAsia="Bookman Old Style" w:hAnsi="Bookman Old Style" w:cs="Bookman Old Style"/>
          <w:b/>
          <w:bCs/>
          <w:sz w:val="28"/>
          <w:szCs w:val="28"/>
        </w:rPr>
        <w:t xml:space="preserve">PRIMERO: DECLARAR </w:t>
      </w:r>
      <w:r>
        <w:rPr>
          <w:rFonts w:ascii="Bookman Old Style" w:eastAsia="Bookman Old Style" w:hAnsi="Bookman Old Style" w:cs="Bookman Old Style"/>
          <w:sz w:val="28"/>
          <w:szCs w:val="28"/>
        </w:rPr>
        <w:t xml:space="preserve">la extinción de la acción penal por muerte del procesado DIEGO ORLANDO RIVERA </w:t>
      </w:r>
      <w:r>
        <w:rPr>
          <w:rFonts w:ascii="Bookman Old Style" w:eastAsia="Bookman Old Style" w:hAnsi="Bookman Old Style" w:cs="Bookman Old Style"/>
          <w:sz w:val="28"/>
          <w:szCs w:val="28"/>
        </w:rPr>
        <w:lastRenderedPageBreak/>
        <w:t>RODRÍGUEZ</w:t>
      </w:r>
      <w:r>
        <w:rPr>
          <w:rFonts w:ascii="Bookman Old Style" w:eastAsia="Bookman Old Style" w:hAnsi="Bookman Old Style" w:cs="Bookman Old Style"/>
          <w:b/>
          <w:bCs/>
          <w:sz w:val="28"/>
          <w:szCs w:val="28"/>
        </w:rPr>
        <w:t xml:space="preserve"> </w:t>
      </w:r>
      <w:r>
        <w:rPr>
          <w:rFonts w:ascii="Bookman Old Style" w:eastAsia="Bookman Old Style" w:hAnsi="Bookman Old Style" w:cs="Bookman Old Style"/>
          <w:sz w:val="28"/>
          <w:szCs w:val="28"/>
        </w:rPr>
        <w:t xml:space="preserve">y disponer el archivo de la actuación penal por el delito aquí investigado. </w:t>
      </w:r>
    </w:p>
    <w:p w14:paraId="00000032" w14:textId="77777777" w:rsidR="007300CD" w:rsidRDefault="007300CD">
      <w:pPr>
        <w:spacing w:after="0" w:line="360" w:lineRule="auto"/>
        <w:ind w:firstLine="567"/>
        <w:jc w:val="both"/>
        <w:rPr>
          <w:rFonts w:ascii="Bookman Old Style" w:eastAsia="Bookman Old Style" w:hAnsi="Bookman Old Style" w:cs="Bookman Old Style"/>
          <w:sz w:val="28"/>
          <w:szCs w:val="28"/>
        </w:rPr>
      </w:pPr>
    </w:p>
    <w:p w14:paraId="00000033" w14:textId="77777777" w:rsidR="007300CD" w:rsidRDefault="00000000">
      <w:pPr>
        <w:pBdr>
          <w:top w:val="nil"/>
          <w:left w:val="nil"/>
          <w:bottom w:val="nil"/>
          <w:right w:val="nil"/>
          <w:between w:val="nil"/>
        </w:pBdr>
        <w:spacing w:after="0" w:line="360" w:lineRule="auto"/>
        <w:ind w:firstLine="567"/>
        <w:jc w:val="both"/>
        <w:rPr>
          <w:rFonts w:ascii="Bookman Old Style" w:eastAsia="Bookman Old Style" w:hAnsi="Bookman Old Style" w:cs="Bookman Old Style"/>
          <w:color w:val="000000"/>
          <w:sz w:val="28"/>
          <w:szCs w:val="28"/>
        </w:rPr>
      </w:pPr>
      <w:r>
        <w:rPr>
          <w:rFonts w:ascii="Bookman Old Style" w:eastAsia="Bookman Old Style" w:hAnsi="Bookman Old Style" w:cs="Bookman Old Style"/>
          <w:b/>
          <w:bCs/>
          <w:color w:val="000000"/>
          <w:sz w:val="28"/>
          <w:szCs w:val="28"/>
        </w:rPr>
        <w:t xml:space="preserve">SEGUNDO: PRECLUIR </w:t>
      </w:r>
      <w:r>
        <w:rPr>
          <w:rFonts w:ascii="Bookman Old Style" w:eastAsia="Bookman Old Style" w:hAnsi="Bookman Old Style" w:cs="Bookman Old Style"/>
          <w:color w:val="000000"/>
          <w:sz w:val="28"/>
          <w:szCs w:val="28"/>
        </w:rPr>
        <w:t>la actuación seguida en su contra por el delito de perturbación de la posesión sobre inmueble</w:t>
      </w:r>
    </w:p>
    <w:p w14:paraId="00000034" w14:textId="77777777" w:rsidR="007300CD" w:rsidRDefault="00000000">
      <w:pPr>
        <w:pBdr>
          <w:top w:val="nil"/>
          <w:left w:val="nil"/>
          <w:bottom w:val="nil"/>
          <w:right w:val="nil"/>
          <w:between w:val="nil"/>
        </w:pBdr>
        <w:spacing w:after="0" w:line="360" w:lineRule="auto"/>
        <w:ind w:firstLine="709"/>
        <w:jc w:val="both"/>
        <w:rPr>
          <w:rFonts w:ascii="Bookman Old Style" w:eastAsia="Bookman Old Style" w:hAnsi="Bookman Old Style" w:cs="Bookman Old Style"/>
          <w:color w:val="000000"/>
          <w:sz w:val="28"/>
          <w:szCs w:val="28"/>
        </w:rPr>
      </w:pPr>
      <w:r>
        <w:rPr>
          <w:rFonts w:ascii="Bookman Old Style" w:eastAsia="Bookman Old Style" w:hAnsi="Bookman Old Style" w:cs="Bookman Old Style"/>
          <w:b/>
          <w:bCs/>
          <w:color w:val="000000"/>
          <w:sz w:val="28"/>
          <w:szCs w:val="28"/>
        </w:rPr>
        <w:t>TERCERO. DISPONER</w:t>
      </w:r>
      <w:r>
        <w:rPr>
          <w:rFonts w:ascii="Bookman Old Style" w:eastAsia="Bookman Old Style" w:hAnsi="Bookman Old Style" w:cs="Bookman Old Style"/>
          <w:color w:val="000000"/>
          <w:sz w:val="28"/>
          <w:szCs w:val="28"/>
        </w:rPr>
        <w:t xml:space="preserve"> que el juzgado de primera instancia realice las anotaciones y cancelaciones derivadas de esta decisión. </w:t>
      </w:r>
    </w:p>
    <w:p w14:paraId="00000035" w14:textId="77777777" w:rsidR="007300CD" w:rsidRDefault="007300CD">
      <w:pPr>
        <w:spacing w:after="0" w:line="360" w:lineRule="auto"/>
        <w:ind w:firstLine="567"/>
        <w:jc w:val="both"/>
        <w:rPr>
          <w:rFonts w:ascii="Bookman Old Style" w:eastAsia="Bookman Old Style" w:hAnsi="Bookman Old Style" w:cs="Bookman Old Style"/>
          <w:sz w:val="28"/>
          <w:szCs w:val="28"/>
        </w:rPr>
      </w:pPr>
    </w:p>
    <w:p w14:paraId="00000036" w14:textId="77777777" w:rsidR="007300CD" w:rsidRDefault="00000000">
      <w:pP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 xml:space="preserve">        Contra esta decisión procede el recurso de reposición.</w:t>
      </w:r>
    </w:p>
    <w:p w14:paraId="00000037" w14:textId="77777777" w:rsidR="007300CD" w:rsidRDefault="00000000">
      <w:pPr>
        <w:tabs>
          <w:tab w:val="left" w:pos="0"/>
        </w:tabs>
        <w:spacing w:after="0" w:line="360" w:lineRule="auto"/>
        <w:jc w:val="center"/>
        <w:rPr>
          <w:rFonts w:ascii="Bookman Old Style" w:eastAsia="Bookman Old Style" w:hAnsi="Bookman Old Style" w:cs="Bookman Old Style"/>
          <w:b/>
          <w:bCs/>
          <w:sz w:val="28"/>
          <w:szCs w:val="28"/>
        </w:rPr>
      </w:pPr>
      <w:r>
        <w:rPr>
          <w:rFonts w:ascii="Bookman Old Style" w:eastAsia="Bookman Old Style" w:hAnsi="Bookman Old Style" w:cs="Bookman Old Style"/>
          <w:sz w:val="28"/>
          <w:szCs w:val="28"/>
        </w:rPr>
        <w:t>Cópiese, notifíquese y cúmplase</w:t>
      </w:r>
      <w:r>
        <w:rPr>
          <w:rFonts w:ascii="Bookman Old Style" w:eastAsia="Bookman Old Style" w:hAnsi="Bookman Old Style" w:cs="Bookman Old Style"/>
          <w:b/>
          <w:bCs/>
          <w:sz w:val="28"/>
          <w:szCs w:val="28"/>
        </w:rPr>
        <w:t>.</w:t>
      </w:r>
    </w:p>
    <w:p w14:paraId="00000039" w14:textId="3B8AEFCD" w:rsidR="007300CD" w:rsidRDefault="007300CD">
      <w:pPr>
        <w:spacing w:after="0" w:line="360" w:lineRule="auto"/>
        <w:jc w:val="center"/>
        <w:rPr>
          <w:rFonts w:ascii="Bookman Old Style" w:eastAsia="Bookman Old Style" w:hAnsi="Bookman Old Style" w:cs="Bookman Old Style"/>
          <w:b/>
          <w:bCs/>
          <w:sz w:val="28"/>
          <w:szCs w:val="28"/>
        </w:rPr>
      </w:pPr>
    </w:p>
    <w:p w14:paraId="0000003A" w14:textId="77777777" w:rsidR="007300CD" w:rsidRDefault="00000000">
      <w:pPr>
        <w:spacing w:after="0" w:line="360" w:lineRule="auto"/>
        <w:jc w:val="center"/>
        <w:rPr>
          <w:rFonts w:ascii="Bookman Old Style" w:eastAsia="Bookman Old Style" w:hAnsi="Bookman Old Style" w:cs="Bookman Old Style"/>
          <w:b/>
          <w:bCs/>
          <w:sz w:val="28"/>
          <w:szCs w:val="28"/>
        </w:rPr>
      </w:pPr>
      <w:r>
        <w:rPr>
          <w:rFonts w:ascii="Bookman Old Style" w:eastAsia="Bookman Old Style" w:hAnsi="Bookman Old Style" w:cs="Bookman Old Style"/>
          <w:b/>
          <w:bCs/>
          <w:sz w:val="28"/>
          <w:szCs w:val="28"/>
        </w:rPr>
        <w:t>CARLOS ROBERTO SOLÓRZANO GARAVITO</w:t>
      </w:r>
    </w:p>
    <w:p w14:paraId="0000003B" w14:textId="77777777" w:rsidR="007300CD" w:rsidRDefault="00000000">
      <w:pPr>
        <w:spacing w:after="0" w:line="360" w:lineRule="auto"/>
        <w:jc w:val="center"/>
        <w:rPr>
          <w:rFonts w:ascii="Bookman Old Style" w:eastAsia="Bookman Old Style" w:hAnsi="Bookman Old Style" w:cs="Bookman Old Style"/>
          <w:b/>
          <w:bCs/>
          <w:sz w:val="28"/>
          <w:szCs w:val="28"/>
        </w:rPr>
      </w:pPr>
      <w:r>
        <w:rPr>
          <w:rFonts w:ascii="Bookman Old Style" w:eastAsia="Bookman Old Style" w:hAnsi="Bookman Old Style" w:cs="Bookman Old Style"/>
          <w:b/>
          <w:bCs/>
          <w:sz w:val="28"/>
          <w:szCs w:val="28"/>
        </w:rPr>
        <w:t>Presidente</w:t>
      </w:r>
    </w:p>
    <w:p w14:paraId="0000003D" w14:textId="77777777" w:rsidR="007300CD" w:rsidRPr="00222A49" w:rsidRDefault="00000000">
      <w:pPr>
        <w:spacing w:after="0" w:line="360" w:lineRule="auto"/>
        <w:jc w:val="center"/>
        <w:rPr>
          <w:rFonts w:ascii="Bookman Old Style" w:eastAsia="Bookman Old Style" w:hAnsi="Bookman Old Style" w:cs="Bookman Old Style"/>
          <w:sz w:val="28"/>
          <w:szCs w:val="28"/>
          <w:lang w:val="pt-PT"/>
        </w:rPr>
      </w:pPr>
      <w:r w:rsidRPr="00222A49">
        <w:rPr>
          <w:rFonts w:ascii="Bookman Old Style" w:eastAsia="Bookman Old Style" w:hAnsi="Bookman Old Style" w:cs="Bookman Old Style"/>
          <w:sz w:val="28"/>
          <w:szCs w:val="28"/>
          <w:lang w:val="pt-PT"/>
        </w:rPr>
        <w:t>MYRIAM ÁVILA ROLDÁN</w:t>
      </w:r>
    </w:p>
    <w:p w14:paraId="0000003F" w14:textId="77777777" w:rsidR="007300CD" w:rsidRPr="00222A49" w:rsidRDefault="00000000">
      <w:pPr>
        <w:spacing w:after="0" w:line="360" w:lineRule="auto"/>
        <w:jc w:val="center"/>
        <w:rPr>
          <w:rFonts w:ascii="Bookman Old Style" w:eastAsia="Bookman Old Style" w:hAnsi="Bookman Old Style" w:cs="Bookman Old Style"/>
          <w:sz w:val="28"/>
          <w:szCs w:val="28"/>
          <w:lang w:val="pt-PT"/>
        </w:rPr>
      </w:pPr>
      <w:r w:rsidRPr="00222A49">
        <w:rPr>
          <w:rFonts w:ascii="Bookman Old Style" w:eastAsia="Bookman Old Style" w:hAnsi="Bookman Old Style" w:cs="Bookman Old Style"/>
          <w:sz w:val="28"/>
          <w:szCs w:val="28"/>
          <w:lang w:val="pt-PT"/>
        </w:rPr>
        <w:t>GERARDO BARBOSA CASTILLO</w:t>
      </w:r>
    </w:p>
    <w:p w14:paraId="00000041" w14:textId="77777777" w:rsidR="007300CD" w:rsidRPr="00222A49" w:rsidRDefault="00000000">
      <w:pPr>
        <w:spacing w:after="0" w:line="360" w:lineRule="auto"/>
        <w:jc w:val="center"/>
        <w:rPr>
          <w:rFonts w:ascii="Bookman Old Style" w:eastAsia="Bookman Old Style" w:hAnsi="Bookman Old Style" w:cs="Bookman Old Style"/>
          <w:sz w:val="28"/>
          <w:szCs w:val="28"/>
          <w:lang w:val="pt-PT"/>
        </w:rPr>
      </w:pPr>
      <w:r w:rsidRPr="00222A49">
        <w:rPr>
          <w:rFonts w:ascii="Bookman Old Style" w:eastAsia="Bookman Old Style" w:hAnsi="Bookman Old Style" w:cs="Bookman Old Style"/>
          <w:sz w:val="28"/>
          <w:szCs w:val="28"/>
          <w:lang w:val="pt-PT"/>
        </w:rPr>
        <w:t>FERNANDO LEÓN BOLAÑOS PALACIOS</w:t>
      </w:r>
    </w:p>
    <w:p w14:paraId="00000043" w14:textId="77777777" w:rsidR="007300CD" w:rsidRPr="00222A49" w:rsidRDefault="00000000">
      <w:pPr>
        <w:spacing w:after="0" w:line="360" w:lineRule="auto"/>
        <w:jc w:val="center"/>
        <w:rPr>
          <w:rFonts w:ascii="Bookman Old Style" w:eastAsia="Bookman Old Style" w:hAnsi="Bookman Old Style" w:cs="Bookman Old Style"/>
          <w:sz w:val="28"/>
          <w:szCs w:val="28"/>
          <w:lang w:val="pt-PT"/>
        </w:rPr>
      </w:pPr>
      <w:r w:rsidRPr="00222A49">
        <w:rPr>
          <w:rFonts w:ascii="Bookman Old Style" w:eastAsia="Bookman Old Style" w:hAnsi="Bookman Old Style" w:cs="Bookman Old Style"/>
          <w:sz w:val="28"/>
          <w:szCs w:val="28"/>
          <w:lang w:val="pt-PT"/>
        </w:rPr>
        <w:t>GERSON CHAVERRA CASTRO</w:t>
      </w:r>
    </w:p>
    <w:p w14:paraId="00000045" w14:textId="77777777" w:rsidR="007300CD" w:rsidRPr="00222A49" w:rsidRDefault="00000000">
      <w:pPr>
        <w:spacing w:after="0" w:line="360" w:lineRule="auto"/>
        <w:jc w:val="center"/>
        <w:rPr>
          <w:rFonts w:ascii="Bookman Old Style" w:eastAsia="Bookman Old Style" w:hAnsi="Bookman Old Style" w:cs="Bookman Old Style"/>
          <w:sz w:val="28"/>
          <w:szCs w:val="28"/>
          <w:lang w:val="pt-PT"/>
        </w:rPr>
      </w:pPr>
      <w:r w:rsidRPr="00222A49">
        <w:rPr>
          <w:rFonts w:ascii="Bookman Old Style" w:eastAsia="Bookman Old Style" w:hAnsi="Bookman Old Style" w:cs="Bookman Old Style"/>
          <w:sz w:val="28"/>
          <w:szCs w:val="28"/>
          <w:lang w:val="pt-PT"/>
        </w:rPr>
        <w:t>DIEGO EUGENIO CORREDOR BELTRÁN</w:t>
      </w:r>
    </w:p>
    <w:p w14:paraId="00000047" w14:textId="77777777" w:rsidR="007300CD" w:rsidRPr="00222A49" w:rsidRDefault="00000000">
      <w:pPr>
        <w:spacing w:after="0" w:line="360" w:lineRule="auto"/>
        <w:jc w:val="center"/>
        <w:rPr>
          <w:rFonts w:ascii="Bookman Old Style" w:eastAsia="Bookman Old Style" w:hAnsi="Bookman Old Style" w:cs="Bookman Old Style"/>
          <w:sz w:val="28"/>
          <w:szCs w:val="28"/>
          <w:lang w:val="pt-PT"/>
        </w:rPr>
      </w:pPr>
      <w:r w:rsidRPr="00222A49">
        <w:rPr>
          <w:rFonts w:ascii="Bookman Old Style" w:eastAsia="Bookman Old Style" w:hAnsi="Bookman Old Style" w:cs="Bookman Old Style"/>
          <w:sz w:val="28"/>
          <w:szCs w:val="28"/>
          <w:lang w:val="pt-PT"/>
        </w:rPr>
        <w:t>JORGE HERNÁN DÍAZ SOTO</w:t>
      </w:r>
    </w:p>
    <w:p w14:paraId="0000004B" w14:textId="77777777" w:rsidR="007300CD" w:rsidRPr="00222A49" w:rsidRDefault="00000000">
      <w:pPr>
        <w:spacing w:after="0" w:line="360" w:lineRule="auto"/>
        <w:jc w:val="center"/>
        <w:rPr>
          <w:rFonts w:ascii="Bookman Old Style" w:eastAsia="Bookman Old Style" w:hAnsi="Bookman Old Style" w:cs="Bookman Old Style"/>
          <w:sz w:val="28"/>
          <w:szCs w:val="28"/>
          <w:lang w:val="pt-PT"/>
        </w:rPr>
      </w:pPr>
      <w:r w:rsidRPr="00222A49">
        <w:rPr>
          <w:rFonts w:ascii="Bookman Old Style" w:eastAsia="Bookman Old Style" w:hAnsi="Bookman Old Style" w:cs="Bookman Old Style"/>
          <w:sz w:val="28"/>
          <w:szCs w:val="28"/>
          <w:lang w:val="pt-PT"/>
        </w:rPr>
        <w:t>HUGO QUINTERO BERNATE</w:t>
      </w:r>
    </w:p>
    <w:p w14:paraId="0000004D" w14:textId="77777777" w:rsidR="007300CD" w:rsidRPr="00222A49" w:rsidRDefault="00000000">
      <w:pPr>
        <w:spacing w:after="0" w:line="360" w:lineRule="auto"/>
        <w:jc w:val="center"/>
        <w:rPr>
          <w:rFonts w:ascii="Bookman Old Style" w:eastAsia="Bookman Old Style" w:hAnsi="Bookman Old Style" w:cs="Bookman Old Style"/>
          <w:sz w:val="28"/>
          <w:szCs w:val="28"/>
          <w:lang w:val="pt-PT"/>
        </w:rPr>
      </w:pPr>
      <w:r w:rsidRPr="00222A49">
        <w:rPr>
          <w:rFonts w:ascii="Bookman Old Style" w:eastAsia="Bookman Old Style" w:hAnsi="Bookman Old Style" w:cs="Bookman Old Style"/>
          <w:sz w:val="28"/>
          <w:szCs w:val="28"/>
          <w:lang w:val="pt-PT"/>
        </w:rPr>
        <w:t>JOSÉ JOAQUÍN URBANO MARTÍNEZ</w:t>
      </w:r>
    </w:p>
    <w:p w14:paraId="0000004F" w14:textId="77777777" w:rsidR="007300CD" w:rsidRDefault="00000000">
      <w:pPr>
        <w:spacing w:after="0" w:line="360" w:lineRule="auto"/>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NUBIA YOLANDA NOVA GARCÍA</w:t>
      </w:r>
    </w:p>
    <w:p w14:paraId="00000087" w14:textId="5B2F0AB1" w:rsidR="007300CD" w:rsidRDefault="00000000" w:rsidP="00222A49">
      <w:pPr>
        <w:spacing w:after="0" w:line="360" w:lineRule="auto"/>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8"/>
          <w:szCs w:val="28"/>
        </w:rPr>
        <w:t>Secretaria</w:t>
      </w:r>
      <w:r>
        <w:rPr>
          <w:rFonts w:ascii="Bookman Old Style" w:eastAsia="Bookman Old Style" w:hAnsi="Bookman Old Style" w:cs="Bookman Old Style"/>
          <w:sz w:val="24"/>
          <w:szCs w:val="24"/>
        </w:rPr>
        <w:t xml:space="preserve"> </w:t>
      </w:r>
    </w:p>
    <w:p w14:paraId="00000088" w14:textId="77777777" w:rsidR="007300CD" w:rsidRDefault="007300CD"/>
    <w:sectPr w:rsidR="007300CD" w:rsidSect="00222A49">
      <w:headerReference w:type="even" r:id="rId8"/>
      <w:headerReference w:type="default" r:id="rId9"/>
      <w:footerReference w:type="even" r:id="rId10"/>
      <w:footerReference w:type="default" r:id="rId11"/>
      <w:headerReference w:type="first" r:id="rId12"/>
      <w:pgSz w:w="12242" w:h="18722"/>
      <w:pgMar w:top="2268" w:right="1701" w:bottom="1701" w:left="2268" w:header="1134"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27387" w14:textId="77777777" w:rsidR="00EE6030" w:rsidRDefault="00EE6030">
      <w:pPr>
        <w:spacing w:after="0" w:line="240" w:lineRule="auto"/>
      </w:pPr>
      <w:r>
        <w:separator/>
      </w:r>
    </w:p>
  </w:endnote>
  <w:endnote w:type="continuationSeparator" w:id="0">
    <w:p w14:paraId="45047F38" w14:textId="77777777" w:rsidR="00EE6030" w:rsidRDefault="00EE6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34EF9BE-9F52-4C1F-8CEF-00CC6FD1F042}"/>
  </w:font>
  <w:font w:name="Play">
    <w:charset w:val="00"/>
    <w:family w:val="auto"/>
    <w:pitch w:val="default"/>
    <w:embedRegular r:id="rId2" w:fontKey="{D2290A83-7300-4CD7-8A7D-7C294A65036C}"/>
  </w:font>
  <w:font w:name="Aptos">
    <w:charset w:val="00"/>
    <w:family w:val="swiss"/>
    <w:pitch w:val="variable"/>
    <w:sig w:usb0="20000287" w:usb1="00000003" w:usb2="00000000" w:usb3="00000000" w:csb0="0000019F" w:csb1="00000000"/>
    <w:embedRegular r:id="rId3" w:fontKey="{37FB34B7-7922-40E8-BF9D-3DF99C5CFD01}"/>
    <w:embedItalic r:id="rId4" w:fontKey="{36457CF2-28C1-4087-BC1F-28DEC8FFC876}"/>
  </w:font>
  <w:font w:name="Bookman Old Style">
    <w:panose1 w:val="02050604050505020204"/>
    <w:charset w:val="00"/>
    <w:family w:val="roman"/>
    <w:pitch w:val="variable"/>
    <w:sig w:usb0="00000287" w:usb1="00000000" w:usb2="00000000" w:usb3="00000000" w:csb0="0000009F" w:csb1="00000000"/>
    <w:embedRegular r:id="rId5" w:fontKey="{1D391F95-61D1-487C-B3FF-6480B29806F8}"/>
    <w:embedBold r:id="rId6" w:fontKey="{7E8A746B-2929-4B04-9173-59BA5C001CAF}"/>
    <w:embedItalic r:id="rId7" w:fontKey="{928B6483-397C-43D3-A49B-F0F791A87082}"/>
  </w:font>
  <w:font w:name="Comic Sans MS">
    <w:panose1 w:val="030F0702030302020204"/>
    <w:charset w:val="00"/>
    <w:family w:val="script"/>
    <w:pitch w:val="variable"/>
    <w:sig w:usb0="00000287" w:usb1="00000013" w:usb2="00000000" w:usb3="00000000" w:csb0="0000009F" w:csb1="00000000"/>
    <w:embedRegular r:id="rId8" w:fontKey="{DAB89848-90DD-48D9-8F1D-A72E130F472E}"/>
  </w:font>
  <w:font w:name="Cambria">
    <w:panose1 w:val="02040503050406030204"/>
    <w:charset w:val="00"/>
    <w:family w:val="roman"/>
    <w:pitch w:val="variable"/>
    <w:sig w:usb0="E00006FF" w:usb1="420024FF" w:usb2="02000000" w:usb3="00000000" w:csb0="0000019F" w:csb1="00000000"/>
    <w:embedRegular r:id="rId9" w:fontKey="{C222B1E0-7223-46FB-9230-8478C83B3C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7" w14:textId="77777777" w:rsidR="007300CD" w:rsidRDefault="00000000">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98" w14:textId="77777777" w:rsidR="007300CD" w:rsidRDefault="007300CD">
    <w:pPr>
      <w:pBdr>
        <w:top w:val="nil"/>
        <w:left w:val="nil"/>
        <w:bottom w:val="nil"/>
        <w:right w:val="nil"/>
        <w:between w:val="nil"/>
      </w:pBdr>
      <w:tabs>
        <w:tab w:val="center" w:pos="4252"/>
        <w:tab w:val="right" w:pos="8504"/>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9" w14:textId="344344F4" w:rsidR="007300CD" w:rsidRDefault="00000000">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26151">
      <w:rPr>
        <w:noProof/>
        <w:color w:val="000000"/>
      </w:rPr>
      <w:t>2</w:t>
    </w:r>
    <w:r>
      <w:rPr>
        <w:color w:val="000000"/>
      </w:rPr>
      <w:fldChar w:fldCharType="end"/>
    </w:r>
  </w:p>
  <w:p w14:paraId="0000009A" w14:textId="77777777" w:rsidR="007300CD" w:rsidRDefault="007300CD">
    <w:pPr>
      <w:pBdr>
        <w:top w:val="nil"/>
        <w:left w:val="nil"/>
        <w:bottom w:val="nil"/>
        <w:right w:val="nil"/>
        <w:between w:val="nil"/>
      </w:pBdr>
      <w:tabs>
        <w:tab w:val="center" w:pos="4252"/>
        <w:tab w:val="right" w:pos="8504"/>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E81C6" w14:textId="77777777" w:rsidR="00EE6030" w:rsidRDefault="00EE6030">
      <w:pPr>
        <w:spacing w:after="0" w:line="240" w:lineRule="auto"/>
      </w:pPr>
      <w:r>
        <w:separator/>
      </w:r>
    </w:p>
  </w:footnote>
  <w:footnote w:type="continuationSeparator" w:id="0">
    <w:p w14:paraId="4400F14B" w14:textId="77777777" w:rsidR="00EE6030" w:rsidRDefault="00EE6030">
      <w:pPr>
        <w:spacing w:after="0" w:line="240" w:lineRule="auto"/>
      </w:pPr>
      <w:r>
        <w:continuationSeparator/>
      </w:r>
    </w:p>
  </w:footnote>
  <w:footnote w:id="1">
    <w:p w14:paraId="00000089" w14:textId="77777777" w:rsidR="007300CD" w:rsidRDefault="00000000">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0"/>
          <w:szCs w:val="20"/>
        </w:rPr>
      </w:pPr>
      <w:r>
        <w:rPr>
          <w:vertAlign w:val="superscript"/>
        </w:rPr>
        <w:footnoteRef/>
      </w:r>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Fl</w:t>
      </w:r>
      <w:proofErr w:type="spellEnd"/>
      <w:r>
        <w:rPr>
          <w:rFonts w:ascii="Bookman Old Style" w:eastAsia="Bookman Old Style" w:hAnsi="Bookman Old Style" w:cs="Bookman Old Style"/>
          <w:color w:val="000000"/>
          <w:sz w:val="20"/>
          <w:szCs w:val="20"/>
        </w:rPr>
        <w:t xml:space="preserve"> 01 al 06 del Cuaderno digital 1era instancia. </w:t>
      </w:r>
    </w:p>
  </w:footnote>
  <w:footnote w:id="2">
    <w:p w14:paraId="0000008A" w14:textId="77777777" w:rsidR="007300CD" w:rsidRDefault="00000000">
      <w:pPr>
        <w:pBdr>
          <w:top w:val="nil"/>
          <w:left w:val="nil"/>
          <w:bottom w:val="nil"/>
          <w:right w:val="nil"/>
          <w:between w:val="nil"/>
        </w:pBdr>
        <w:spacing w:after="0" w:line="240" w:lineRule="auto"/>
        <w:rPr>
          <w:rFonts w:ascii="Comic Sans MS" w:eastAsia="Comic Sans MS" w:hAnsi="Comic Sans MS" w:cs="Comic Sans MS"/>
          <w:color w:val="000000"/>
          <w:sz w:val="20"/>
          <w:szCs w:val="20"/>
        </w:rPr>
      </w:pPr>
      <w:r>
        <w:rPr>
          <w:vertAlign w:val="superscript"/>
        </w:rPr>
        <w:footnoteRef/>
      </w:r>
      <w:r>
        <w:rPr>
          <w:rFonts w:ascii="Comic Sans MS" w:eastAsia="Comic Sans MS" w:hAnsi="Comic Sans MS" w:cs="Comic Sans MS"/>
          <w:color w:val="000000"/>
          <w:sz w:val="20"/>
          <w:szCs w:val="20"/>
        </w:rPr>
        <w:t xml:space="preserve"> </w:t>
      </w:r>
      <w:proofErr w:type="spellStart"/>
      <w:r>
        <w:rPr>
          <w:rFonts w:ascii="Bookman Old Style" w:eastAsia="Bookman Old Style" w:hAnsi="Bookman Old Style" w:cs="Bookman Old Style"/>
          <w:color w:val="000000"/>
          <w:sz w:val="20"/>
          <w:szCs w:val="20"/>
        </w:rPr>
        <w:t>Fl</w:t>
      </w:r>
      <w:proofErr w:type="spellEnd"/>
      <w:r>
        <w:rPr>
          <w:rFonts w:ascii="Bookman Old Style" w:eastAsia="Bookman Old Style" w:hAnsi="Bookman Old Style" w:cs="Bookman Old Style"/>
          <w:color w:val="000000"/>
          <w:sz w:val="20"/>
          <w:szCs w:val="20"/>
        </w:rPr>
        <w:t xml:space="preserve"> 16 al 20 del Cuaderno digital 1era instancia.</w:t>
      </w:r>
    </w:p>
  </w:footnote>
  <w:footnote w:id="3">
    <w:p w14:paraId="0000008B" w14:textId="77777777" w:rsidR="007300CD" w:rsidRDefault="00000000">
      <w:p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vertAlign w:val="superscript"/>
        </w:rPr>
        <w:footnoteRef/>
      </w:r>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Fl</w:t>
      </w:r>
      <w:proofErr w:type="spellEnd"/>
      <w:r>
        <w:rPr>
          <w:rFonts w:ascii="Bookman Old Style" w:eastAsia="Bookman Old Style" w:hAnsi="Bookman Old Style" w:cs="Bookman Old Style"/>
          <w:color w:val="000000"/>
          <w:sz w:val="20"/>
          <w:szCs w:val="20"/>
        </w:rPr>
        <w:t xml:space="preserve"> 89 al 90 del Cuaderno digital 1era instancia.</w:t>
      </w:r>
    </w:p>
  </w:footnote>
  <w:footnote w:id="4">
    <w:p w14:paraId="0000008C" w14:textId="77777777" w:rsidR="007300CD" w:rsidRDefault="00000000">
      <w:p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vertAlign w:val="superscript"/>
        </w:rPr>
        <w:footnoteRef/>
      </w:r>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Fl</w:t>
      </w:r>
      <w:proofErr w:type="spellEnd"/>
      <w:r>
        <w:rPr>
          <w:rFonts w:ascii="Bookman Old Style" w:eastAsia="Bookman Old Style" w:hAnsi="Bookman Old Style" w:cs="Bookman Old Style"/>
          <w:color w:val="000000"/>
          <w:sz w:val="20"/>
          <w:szCs w:val="20"/>
        </w:rPr>
        <w:t xml:space="preserve"> 91 al 110 del Cuaderno digital 1era instancia.</w:t>
      </w:r>
    </w:p>
  </w:footnote>
  <w:footnote w:id="5">
    <w:p w14:paraId="0000008D" w14:textId="77777777" w:rsidR="007300CD" w:rsidRDefault="00000000">
      <w:p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vertAlign w:val="superscript"/>
        </w:rPr>
        <w:footnoteRef/>
      </w:r>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Fl</w:t>
      </w:r>
      <w:proofErr w:type="spellEnd"/>
      <w:r>
        <w:rPr>
          <w:rFonts w:ascii="Bookman Old Style" w:eastAsia="Bookman Old Style" w:hAnsi="Bookman Old Style" w:cs="Bookman Old Style"/>
          <w:color w:val="000000"/>
          <w:sz w:val="20"/>
          <w:szCs w:val="20"/>
        </w:rPr>
        <w:t xml:space="preserve"> 04 al 25 del Cuaderno digital 2da instancia.</w:t>
      </w:r>
    </w:p>
  </w:footnote>
  <w:footnote w:id="6">
    <w:p w14:paraId="0000008E" w14:textId="77777777" w:rsidR="007300CD" w:rsidRDefault="00000000">
      <w:p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vertAlign w:val="superscript"/>
        </w:rPr>
        <w:footnoteRef/>
      </w:r>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Fl</w:t>
      </w:r>
      <w:proofErr w:type="spellEnd"/>
      <w:r>
        <w:rPr>
          <w:rFonts w:ascii="Bookman Old Style" w:eastAsia="Bookman Old Style" w:hAnsi="Bookman Old Style" w:cs="Bookman Old Style"/>
          <w:color w:val="000000"/>
          <w:sz w:val="20"/>
          <w:szCs w:val="20"/>
        </w:rPr>
        <w:t xml:space="preserve"> </w:t>
      </w:r>
      <w:r>
        <w:rPr>
          <w:rFonts w:ascii="Bookman Old Style" w:eastAsia="Bookman Old Style" w:hAnsi="Bookman Old Style" w:cs="Bookman Old Style"/>
          <w:color w:val="000000"/>
        </w:rPr>
        <w:t>34</w:t>
      </w:r>
      <w:r>
        <w:rPr>
          <w:rFonts w:ascii="Bookman Old Style" w:eastAsia="Bookman Old Style" w:hAnsi="Bookman Old Style" w:cs="Bookman Old Style"/>
          <w:color w:val="000000"/>
          <w:sz w:val="20"/>
          <w:szCs w:val="20"/>
        </w:rPr>
        <w:t xml:space="preserve"> al </w:t>
      </w:r>
      <w:r>
        <w:rPr>
          <w:rFonts w:ascii="Bookman Old Style" w:eastAsia="Bookman Old Style" w:hAnsi="Bookman Old Style" w:cs="Bookman Old Style"/>
          <w:color w:val="000000"/>
        </w:rPr>
        <w:t xml:space="preserve">41 </w:t>
      </w:r>
      <w:r>
        <w:rPr>
          <w:rFonts w:ascii="Bookman Old Style" w:eastAsia="Bookman Old Style" w:hAnsi="Bookman Old Style" w:cs="Bookman Old Style"/>
          <w:color w:val="000000"/>
          <w:sz w:val="20"/>
          <w:szCs w:val="20"/>
        </w:rPr>
        <w:t xml:space="preserve">del Cuaderno digital </w:t>
      </w:r>
      <w:r>
        <w:rPr>
          <w:rFonts w:ascii="Bookman Old Style" w:eastAsia="Bookman Old Style" w:hAnsi="Bookman Old Style" w:cs="Bookman Old Style"/>
          <w:color w:val="000000"/>
        </w:rPr>
        <w:t>2da</w:t>
      </w:r>
      <w:r>
        <w:rPr>
          <w:rFonts w:ascii="Bookman Old Style" w:eastAsia="Bookman Old Style" w:hAnsi="Bookman Old Style" w:cs="Bookman Old Style"/>
          <w:color w:val="000000"/>
          <w:sz w:val="20"/>
          <w:szCs w:val="20"/>
        </w:rPr>
        <w:t xml:space="preserve"> instancia.</w:t>
      </w:r>
    </w:p>
  </w:footnote>
  <w:footnote w:id="7">
    <w:p w14:paraId="0000008F" w14:textId="77777777" w:rsidR="007300CD" w:rsidRDefault="00000000">
      <w:pPr>
        <w:pBdr>
          <w:top w:val="nil"/>
          <w:left w:val="nil"/>
          <w:bottom w:val="nil"/>
          <w:right w:val="nil"/>
          <w:between w:val="nil"/>
        </w:pBdr>
        <w:spacing w:after="0" w:line="240" w:lineRule="auto"/>
        <w:rPr>
          <w:rFonts w:ascii="Comic Sans MS" w:eastAsia="Comic Sans MS" w:hAnsi="Comic Sans MS" w:cs="Comic Sans MS"/>
          <w:color w:val="000000"/>
          <w:sz w:val="20"/>
          <w:szCs w:val="20"/>
        </w:rPr>
      </w:pPr>
      <w:r>
        <w:rPr>
          <w:vertAlign w:val="superscript"/>
        </w:rPr>
        <w:footnoteRef/>
      </w:r>
      <w:r>
        <w:rPr>
          <w:rFonts w:ascii="Comic Sans MS" w:eastAsia="Comic Sans MS" w:hAnsi="Comic Sans MS" w:cs="Comic Sans MS"/>
          <w:color w:val="000000"/>
          <w:sz w:val="20"/>
          <w:szCs w:val="20"/>
        </w:rPr>
        <w:t xml:space="preserve"> </w:t>
      </w:r>
      <w:r>
        <w:rPr>
          <w:rFonts w:ascii="Bookman Old Style" w:eastAsia="Bookman Old Style" w:hAnsi="Bookman Old Style" w:cs="Bookman Old Style"/>
          <w:color w:val="000000"/>
          <w:sz w:val="20"/>
          <w:szCs w:val="20"/>
        </w:rPr>
        <w:t>Anotación n°22 y 23 del Esav</w:t>
      </w:r>
      <w:r>
        <w:rPr>
          <w:rFonts w:ascii="Comic Sans MS" w:eastAsia="Comic Sans MS" w:hAnsi="Comic Sans MS" w:cs="Comic Sans M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0" w14:textId="77777777" w:rsidR="007300CD"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0" distR="0" simplePos="0" relativeHeight="251660288" behindDoc="1" locked="0" layoutInCell="1" hidden="0" allowOverlap="1" wp14:anchorId="6A563C39" wp14:editId="07777777">
          <wp:simplePos x="0" y="0"/>
          <wp:positionH relativeFrom="margin">
            <wp:align>center</wp:align>
          </wp:positionH>
          <wp:positionV relativeFrom="margin">
            <wp:align>center</wp:align>
          </wp:positionV>
          <wp:extent cx="3991610" cy="1626870"/>
          <wp:effectExtent l="0" t="0" r="0" b="0"/>
          <wp:wrapNone/>
          <wp:docPr id="15210078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991610" cy="1626870"/>
                  </a:xfrm>
                  <a:prstGeom prst="rect">
                    <a:avLst/>
                  </a:prstGeom>
                  <a:ln/>
                </pic:spPr>
              </pic:pic>
            </a:graphicData>
          </a:graphic>
        </wp:anchor>
      </w:drawing>
    </w:r>
    <w:r>
      <w:rPr>
        <w:noProof/>
        <w:color w:val="000000"/>
      </w:rPr>
      <w:drawing>
        <wp:anchor distT="0" distB="0" distL="0" distR="0" simplePos="0" relativeHeight="251661312" behindDoc="1" locked="0" layoutInCell="1" hidden="0" allowOverlap="1" wp14:anchorId="1E46798C" wp14:editId="07777777">
          <wp:simplePos x="0" y="0"/>
          <wp:positionH relativeFrom="margin">
            <wp:align>center</wp:align>
          </wp:positionH>
          <wp:positionV relativeFrom="margin">
            <wp:align>center</wp:align>
          </wp:positionV>
          <wp:extent cx="3991610" cy="1626870"/>
          <wp:effectExtent l="0" t="0" r="0" b="0"/>
          <wp:wrapNone/>
          <wp:docPr id="154168488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991610" cy="1626870"/>
                  </a:xfrm>
                  <a:prstGeom prst="rect">
                    <a:avLst/>
                  </a:prstGeom>
                  <a:ln/>
                </pic:spPr>
              </pic:pic>
            </a:graphicData>
          </a:graphic>
        </wp:anchor>
      </w:drawing>
    </w:r>
    <w:r>
      <w:rPr>
        <w:noProof/>
        <w:color w:val="000000"/>
      </w:rPr>
      <w:drawing>
        <wp:anchor distT="0" distB="0" distL="0" distR="0" simplePos="0" relativeHeight="251662336" behindDoc="1" locked="0" layoutInCell="1" hidden="0" allowOverlap="1" wp14:anchorId="3EFC4CD6" wp14:editId="07777777">
          <wp:simplePos x="0" y="0"/>
          <wp:positionH relativeFrom="margin">
            <wp:align>center</wp:align>
          </wp:positionH>
          <wp:positionV relativeFrom="margin">
            <wp:align>center</wp:align>
          </wp:positionV>
          <wp:extent cx="5241925" cy="3413125"/>
          <wp:effectExtent l="0" t="0" r="0" b="0"/>
          <wp:wrapNone/>
          <wp:docPr id="160224854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5241925" cy="341312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1" w14:textId="77777777" w:rsidR="007300CD" w:rsidRDefault="00000000">
    <w:pPr>
      <w:pBdr>
        <w:top w:val="nil"/>
        <w:left w:val="nil"/>
        <w:bottom w:val="nil"/>
        <w:right w:val="nil"/>
        <w:between w:val="nil"/>
      </w:pBdr>
      <w:tabs>
        <w:tab w:val="center" w:pos="4252"/>
        <w:tab w:val="right" w:pos="8504"/>
      </w:tabs>
      <w:spacing w:after="0" w:line="240" w:lineRule="auto"/>
      <w:jc w:val="right"/>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CUI: 11001609906920205293001</w:t>
    </w:r>
  </w:p>
  <w:p w14:paraId="00000092" w14:textId="77777777" w:rsidR="007300CD" w:rsidRDefault="00000000" w:rsidP="3831A2B4">
    <w:pPr>
      <w:pBdr>
        <w:top w:val="nil"/>
        <w:left w:val="nil"/>
        <w:bottom w:val="nil"/>
        <w:right w:val="nil"/>
        <w:between w:val="nil"/>
      </w:pBdr>
      <w:tabs>
        <w:tab w:val="left" w:pos="3123"/>
        <w:tab w:val="center" w:pos="4252"/>
        <w:tab w:val="right" w:pos="8273"/>
        <w:tab w:val="right" w:pos="8504"/>
      </w:tabs>
      <w:spacing w:after="0" w:line="240" w:lineRule="auto"/>
      <w:jc w:val="right"/>
      <w:rPr>
        <w:rFonts w:ascii="Bookman Old Style" w:eastAsia="Bookman Old Style" w:hAnsi="Bookman Old Style" w:cs="Bookman Old Style"/>
        <w:color w:val="000000"/>
        <w:sz w:val="20"/>
        <w:szCs w:val="20"/>
        <w:lang w:val="es-ES"/>
      </w:rPr>
    </w:pPr>
    <w:r>
      <w:rPr>
        <w:rFonts w:ascii="Bookman Old Style" w:eastAsia="Bookman Old Style" w:hAnsi="Bookman Old Style" w:cs="Bookman Old Style"/>
        <w:color w:val="000000"/>
        <w:sz w:val="20"/>
        <w:szCs w:val="20"/>
      </w:rPr>
      <w:tab/>
    </w:r>
    <w:r>
      <w:rPr>
        <w:rFonts w:ascii="Bookman Old Style" w:eastAsia="Bookman Old Style" w:hAnsi="Bookman Old Style" w:cs="Bookman Old Style"/>
        <w:color w:val="000000"/>
        <w:sz w:val="20"/>
        <w:szCs w:val="20"/>
      </w:rPr>
      <w:tab/>
    </w:r>
    <w:r w:rsidR="3831A2B4" w:rsidRPr="3831A2B4">
      <w:rPr>
        <w:rFonts w:ascii="Bookman Old Style" w:eastAsia="Bookman Old Style" w:hAnsi="Bookman Old Style" w:cs="Bookman Old Style"/>
        <w:color w:val="000000"/>
        <w:sz w:val="20"/>
        <w:szCs w:val="20"/>
        <w:lang w:val="es-ES"/>
      </w:rPr>
      <w:t xml:space="preserve">Ley 906 de 2004 – Casación </w:t>
    </w:r>
    <w:proofErr w:type="spellStart"/>
    <w:r w:rsidR="3831A2B4" w:rsidRPr="3831A2B4">
      <w:rPr>
        <w:rFonts w:ascii="Bookman Old Style" w:eastAsia="Bookman Old Style" w:hAnsi="Bookman Old Style" w:cs="Bookman Old Style"/>
        <w:color w:val="000000"/>
        <w:sz w:val="20"/>
        <w:szCs w:val="20"/>
        <w:lang w:val="es-ES"/>
      </w:rPr>
      <w:t>n°</w:t>
    </w:r>
    <w:proofErr w:type="spellEnd"/>
    <w:r w:rsidR="3831A2B4" w:rsidRPr="3831A2B4">
      <w:rPr>
        <w:rFonts w:ascii="Bookman Old Style" w:eastAsia="Bookman Old Style" w:hAnsi="Bookman Old Style" w:cs="Bookman Old Style"/>
        <w:color w:val="000000"/>
        <w:sz w:val="20"/>
        <w:szCs w:val="20"/>
        <w:lang w:val="es-ES"/>
      </w:rPr>
      <w:t>. 67189</w:t>
    </w:r>
  </w:p>
  <w:p w14:paraId="00000093" w14:textId="77777777" w:rsidR="007300CD" w:rsidRDefault="00000000">
    <w:pPr>
      <w:pBdr>
        <w:top w:val="nil"/>
        <w:left w:val="nil"/>
        <w:bottom w:val="nil"/>
        <w:right w:val="nil"/>
        <w:between w:val="nil"/>
      </w:pBdr>
      <w:tabs>
        <w:tab w:val="center" w:pos="4252"/>
        <w:tab w:val="right" w:pos="8504"/>
      </w:tabs>
      <w:spacing w:after="0" w:line="240" w:lineRule="auto"/>
      <w:jc w:val="right"/>
      <w:rPr>
        <w:rFonts w:ascii="Bookman Old Style" w:eastAsia="Bookman Old Style" w:hAnsi="Bookman Old Style" w:cs="Bookman Old Style"/>
        <w:color w:val="000000"/>
        <w:sz w:val="20"/>
        <w:szCs w:val="20"/>
      </w:rPr>
    </w:pPr>
    <w:r>
      <w:rPr>
        <w:noProof/>
      </w:rPr>
      <w:drawing>
        <wp:anchor distT="0" distB="0" distL="0" distR="0" simplePos="0" relativeHeight="251658240" behindDoc="1" locked="0" layoutInCell="1" hidden="0" allowOverlap="1" wp14:anchorId="7B876E2C" wp14:editId="07777777">
          <wp:simplePos x="0" y="0"/>
          <wp:positionH relativeFrom="page">
            <wp:align>center</wp:align>
          </wp:positionH>
          <wp:positionV relativeFrom="margin">
            <wp:posOffset>3651123</wp:posOffset>
          </wp:positionV>
          <wp:extent cx="5253355" cy="2160905"/>
          <wp:effectExtent l="0" t="0" r="0" b="0"/>
          <wp:wrapNone/>
          <wp:docPr id="1048180575" name="image1.png" descr="Imagen que contiene Carta"/>
          <wp:cNvGraphicFramePr/>
          <a:graphic xmlns:a="http://schemas.openxmlformats.org/drawingml/2006/main">
            <a:graphicData uri="http://schemas.openxmlformats.org/drawingml/2006/picture">
              <pic:pic xmlns:pic="http://schemas.openxmlformats.org/drawingml/2006/picture">
                <pic:nvPicPr>
                  <pic:cNvPr id="0" name="image1.png" descr="Imagen que contiene Carta"/>
                  <pic:cNvPicPr preferRelativeResize="0"/>
                </pic:nvPicPr>
                <pic:blipFill>
                  <a:blip r:embed="rId1"/>
                  <a:srcRect/>
                  <a:stretch>
                    <a:fillRect/>
                  </a:stretch>
                </pic:blipFill>
                <pic:spPr>
                  <a:xfrm>
                    <a:off x="0" y="0"/>
                    <a:ext cx="5253355" cy="2160905"/>
                  </a:xfrm>
                  <a:prstGeom prst="rect">
                    <a:avLst/>
                  </a:prstGeom>
                  <a:ln/>
                </pic:spPr>
              </pic:pic>
            </a:graphicData>
          </a:graphic>
        </wp:anchor>
      </w:drawing>
    </w:r>
    <w:r>
      <w:rPr>
        <w:rFonts w:ascii="Bookman Old Style" w:eastAsia="Bookman Old Style" w:hAnsi="Bookman Old Style" w:cs="Bookman Old Style"/>
        <w:color w:val="000000"/>
        <w:sz w:val="20"/>
        <w:szCs w:val="20"/>
      </w:rPr>
      <w:t>Diego Orlando Rivera Rodríguez</w:t>
    </w:r>
  </w:p>
  <w:p w14:paraId="00000094" w14:textId="77777777" w:rsidR="007300CD" w:rsidRDefault="007300CD">
    <w:pPr>
      <w:pBdr>
        <w:top w:val="nil"/>
        <w:left w:val="nil"/>
        <w:bottom w:val="nil"/>
        <w:right w:val="nil"/>
        <w:between w:val="nil"/>
      </w:pBdr>
      <w:tabs>
        <w:tab w:val="center" w:pos="4252"/>
        <w:tab w:val="right" w:pos="8504"/>
        <w:tab w:val="right" w:pos="5812"/>
        <w:tab w:val="left" w:pos="6096"/>
      </w:tabs>
      <w:spacing w:after="0" w:line="240" w:lineRule="auto"/>
      <w:jc w:val="right"/>
      <w:rPr>
        <w:rFonts w:ascii="Bookman Old Style" w:eastAsia="Bookman Old Style" w:hAnsi="Bookman Old Style" w:cs="Bookman Old Style"/>
        <w:color w:val="000000"/>
        <w:sz w:val="20"/>
        <w:szCs w:val="20"/>
      </w:rPr>
    </w:pPr>
  </w:p>
  <w:p w14:paraId="00000095" w14:textId="77777777" w:rsidR="007300CD" w:rsidRDefault="007300CD">
    <w:pPr>
      <w:pBdr>
        <w:top w:val="nil"/>
        <w:left w:val="nil"/>
        <w:bottom w:val="nil"/>
        <w:right w:val="nil"/>
        <w:between w:val="nil"/>
      </w:pBdr>
      <w:tabs>
        <w:tab w:val="center" w:pos="4252"/>
        <w:tab w:val="right" w:pos="8504"/>
        <w:tab w:val="right" w:pos="5812"/>
        <w:tab w:val="left" w:pos="6096"/>
      </w:tabs>
      <w:spacing w:after="0" w:line="240" w:lineRule="auto"/>
      <w:jc w:val="right"/>
      <w:rPr>
        <w:rFonts w:ascii="Bookman Old Style" w:eastAsia="Bookman Old Style" w:hAnsi="Bookman Old Style" w:cs="Bookman Old Styl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6" w14:textId="77777777" w:rsidR="007300CD"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anchor distT="0" distB="0" distL="0" distR="0" simplePos="0" relativeHeight="251659264" behindDoc="1" locked="0" layoutInCell="1" hidden="0" allowOverlap="1" wp14:anchorId="24B240D5" wp14:editId="07777777">
          <wp:simplePos x="0" y="0"/>
          <wp:positionH relativeFrom="page">
            <wp:posOffset>1167130</wp:posOffset>
          </wp:positionH>
          <wp:positionV relativeFrom="margin">
            <wp:posOffset>2285902</wp:posOffset>
          </wp:positionV>
          <wp:extent cx="5410432" cy="2259328"/>
          <wp:effectExtent l="0" t="0" r="0" b="0"/>
          <wp:wrapNone/>
          <wp:docPr id="7368684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10432" cy="2259328"/>
                  </a:xfrm>
                  <a:prstGeom prst="rect">
                    <a:avLst/>
                  </a:prstGeom>
                  <a:ln/>
                </pic:spPr>
              </pic:pic>
            </a:graphicData>
          </a:graphic>
        </wp:anchor>
      </w:drawing>
    </w:r>
    <w:r>
      <w:rPr>
        <w:noProof/>
        <w:color w:val="000000"/>
      </w:rPr>
      <w:drawing>
        <wp:inline distT="0" distB="0" distL="0" distR="0" wp14:anchorId="64BEBB36" wp14:editId="07777777">
          <wp:extent cx="1981200" cy="1981200"/>
          <wp:effectExtent l="0" t="0" r="0" b="0"/>
          <wp:docPr id="167911300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981200" cy="1981200"/>
                  </a:xfrm>
                  <a:prstGeom prst="rect">
                    <a:avLst/>
                  </a:prstGeom>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PWa8NgnQKFVbeI" int2:id="gAxE3M6R">
      <int2:state int2:value="Rejected" int2:type="spell"/>
    </int2:textHash>
    <int2:textHash int2:hashCode="HWfttYGzQ8v30z" int2:id="TyzLQceQ">
      <int2:state int2:value="Rejected" int2:type="spell"/>
    </int2:textHash>
    <int2:textHash int2:hashCode="tg0SG0OKOAw0PV" int2:id="clvVgimu">
      <int2:state int2:value="Rejected" int2:type="spell"/>
    </int2:textHash>
    <int2:textHash int2:hashCode="qbzmkiJisiA9J2" int2:id="gZyTU0v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8AFE6"/>
    <w:multiLevelType w:val="multilevel"/>
    <w:tmpl w:val="1780FB1A"/>
    <w:lvl w:ilvl="0">
      <w:start w:val="1"/>
      <w:numFmt w:val="upperRoman"/>
      <w:lvlText w:val="%1."/>
      <w:lvlJc w:val="left"/>
      <w:pPr>
        <w:ind w:left="1080" w:hanging="720"/>
      </w:pPr>
    </w:lvl>
    <w:lvl w:ilvl="1">
      <w:start w:val="1"/>
      <w:numFmt w:val="decimal"/>
      <w:lvlText w:val="%1.%2"/>
      <w:lvlJc w:val="left"/>
      <w:pPr>
        <w:ind w:left="1428" w:hanging="719"/>
      </w:pPr>
      <w:rPr>
        <w:b/>
        <w:bCs/>
      </w:rPr>
    </w:lvl>
    <w:lvl w:ilvl="2">
      <w:start w:val="1"/>
      <w:numFmt w:val="decimal"/>
      <w:lvlText w:val="%1.%2.%3"/>
      <w:lvlJc w:val="left"/>
      <w:pPr>
        <w:ind w:left="1776" w:hanging="720"/>
      </w:pPr>
      <w:rPr>
        <w:b/>
        <w:bCs/>
      </w:rPr>
    </w:lvl>
    <w:lvl w:ilvl="3">
      <w:start w:val="1"/>
      <w:numFmt w:val="decimal"/>
      <w:lvlText w:val="%1.%2.%3.%4"/>
      <w:lvlJc w:val="left"/>
      <w:pPr>
        <w:ind w:left="2484" w:hanging="1080"/>
      </w:pPr>
      <w:rPr>
        <w:b/>
        <w:bCs/>
      </w:rPr>
    </w:lvl>
    <w:lvl w:ilvl="4">
      <w:start w:val="1"/>
      <w:numFmt w:val="decimal"/>
      <w:lvlText w:val="%1.%2.%3.%4.%5"/>
      <w:lvlJc w:val="left"/>
      <w:pPr>
        <w:ind w:left="3192" w:hanging="1440"/>
      </w:pPr>
      <w:rPr>
        <w:b/>
        <w:bCs/>
      </w:rPr>
    </w:lvl>
    <w:lvl w:ilvl="5">
      <w:start w:val="1"/>
      <w:numFmt w:val="decimal"/>
      <w:lvlText w:val="%1.%2.%3.%4.%5.%6"/>
      <w:lvlJc w:val="left"/>
      <w:pPr>
        <w:ind w:left="3900" w:hanging="1800"/>
      </w:pPr>
      <w:rPr>
        <w:b/>
        <w:bCs/>
      </w:rPr>
    </w:lvl>
    <w:lvl w:ilvl="6">
      <w:start w:val="1"/>
      <w:numFmt w:val="decimal"/>
      <w:lvlText w:val="%1.%2.%3.%4.%5.%6.%7"/>
      <w:lvlJc w:val="left"/>
      <w:pPr>
        <w:ind w:left="4248" w:hanging="1800"/>
      </w:pPr>
      <w:rPr>
        <w:b/>
        <w:bCs/>
      </w:rPr>
    </w:lvl>
    <w:lvl w:ilvl="7">
      <w:start w:val="1"/>
      <w:numFmt w:val="decimal"/>
      <w:lvlText w:val="%1.%2.%3.%4.%5.%6.%7.%8"/>
      <w:lvlJc w:val="left"/>
      <w:pPr>
        <w:ind w:left="4956" w:hanging="2160"/>
      </w:pPr>
      <w:rPr>
        <w:b/>
        <w:bCs/>
      </w:rPr>
    </w:lvl>
    <w:lvl w:ilvl="8">
      <w:start w:val="1"/>
      <w:numFmt w:val="decimal"/>
      <w:lvlText w:val="%1.%2.%3.%4.%5.%6.%7.%8.%9"/>
      <w:lvlJc w:val="left"/>
      <w:pPr>
        <w:ind w:left="5664" w:hanging="2520"/>
      </w:pPr>
      <w:rPr>
        <w:b/>
        <w:bCs/>
      </w:rPr>
    </w:lvl>
  </w:abstractNum>
  <w:abstractNum w:abstractNumId="1" w15:restartNumberingAfterBreak="0">
    <w:nsid w:val="4B234243"/>
    <w:multiLevelType w:val="multilevel"/>
    <w:tmpl w:val="B69CF2F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2" w15:restartNumberingAfterBreak="0">
    <w:nsid w:val="64197D2F"/>
    <w:multiLevelType w:val="multilevel"/>
    <w:tmpl w:val="0F70C1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3" w15:restartNumberingAfterBreak="0">
    <w:nsid w:val="7EDC7873"/>
    <w:multiLevelType w:val="multilevel"/>
    <w:tmpl w:val="2BCCB702"/>
    <w:lvl w:ilvl="0">
      <w:start w:val="1"/>
      <w:numFmt w:val="decimal"/>
      <w:lvlText w:val="%1."/>
      <w:lvlJc w:val="left"/>
      <w:pPr>
        <w:ind w:left="927" w:hanging="359"/>
      </w:pPr>
      <w:rPr>
        <w:b w:val="0"/>
        <w:bCs w:val="0"/>
        <w:i w:val="0"/>
        <w:iCs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1765685376">
    <w:abstractNumId w:val="0"/>
  </w:num>
  <w:num w:numId="2" w16cid:durableId="1942445325">
    <w:abstractNumId w:val="3"/>
  </w:num>
  <w:num w:numId="3" w16cid:durableId="1046951338">
    <w:abstractNumId w:val="1"/>
  </w:num>
  <w:num w:numId="4" w16cid:durableId="1606420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411833"/>
    <w:rsid w:val="000825C7"/>
    <w:rsid w:val="001D0DB9"/>
    <w:rsid w:val="00222A49"/>
    <w:rsid w:val="00224102"/>
    <w:rsid w:val="00526151"/>
    <w:rsid w:val="007300CD"/>
    <w:rsid w:val="00C52E5D"/>
    <w:rsid w:val="00D12081"/>
    <w:rsid w:val="00D644E7"/>
    <w:rsid w:val="00EE6030"/>
    <w:rsid w:val="19411833"/>
    <w:rsid w:val="3831A2B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018B"/>
  <w15:docId w15:val="{78522B88-887A-42AB-8554-9BA85585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line="240" w:lineRule="auto"/>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line="240" w:lineRule="auto"/>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line="240" w:lineRule="auto"/>
      <w:outlineLvl w:val="2"/>
    </w:pPr>
    <w:rPr>
      <w:rFonts w:ascii="Aptos" w:eastAsia="Aptos" w:hAnsi="Aptos" w:cs="Aptos"/>
      <w:color w:val="0F4761"/>
      <w:sz w:val="28"/>
      <w:szCs w:val="28"/>
    </w:rPr>
  </w:style>
  <w:style w:type="paragraph" w:styleId="Ttulo4">
    <w:name w:val="heading 4"/>
    <w:basedOn w:val="Normal"/>
    <w:next w:val="Normal"/>
    <w:uiPriority w:val="9"/>
    <w:semiHidden/>
    <w:unhideWhenUsed/>
    <w:qFormat/>
    <w:pPr>
      <w:keepNext/>
      <w:keepLines/>
      <w:spacing w:before="80" w:after="40" w:line="240" w:lineRule="auto"/>
      <w:outlineLvl w:val="3"/>
    </w:pPr>
    <w:rPr>
      <w:rFonts w:ascii="Aptos" w:eastAsia="Aptos" w:hAnsi="Aptos" w:cs="Aptos"/>
      <w:i/>
      <w:iCs/>
      <w:color w:val="0F4761"/>
      <w:sz w:val="24"/>
      <w:szCs w:val="24"/>
    </w:rPr>
  </w:style>
  <w:style w:type="paragraph" w:styleId="Ttulo5">
    <w:name w:val="heading 5"/>
    <w:basedOn w:val="Normal"/>
    <w:next w:val="Normal"/>
    <w:uiPriority w:val="9"/>
    <w:semiHidden/>
    <w:unhideWhenUsed/>
    <w:qFormat/>
    <w:pPr>
      <w:keepNext/>
      <w:keepLines/>
      <w:spacing w:before="80" w:after="40" w:line="240" w:lineRule="auto"/>
      <w:outlineLvl w:val="4"/>
    </w:pPr>
    <w:rPr>
      <w:rFonts w:ascii="Aptos" w:eastAsia="Aptos" w:hAnsi="Aptos" w:cs="Aptos"/>
      <w:color w:val="0F4761"/>
      <w:sz w:val="24"/>
      <w:szCs w:val="24"/>
    </w:rPr>
  </w:style>
  <w:style w:type="paragraph" w:styleId="Ttulo6">
    <w:name w:val="heading 6"/>
    <w:basedOn w:val="Normal"/>
    <w:next w:val="Normal"/>
    <w:uiPriority w:val="9"/>
    <w:semiHidden/>
    <w:unhideWhenUsed/>
    <w:qFormat/>
    <w:pPr>
      <w:keepNext/>
      <w:keepLines/>
      <w:spacing w:before="40" w:after="0" w:line="240" w:lineRule="auto"/>
      <w:outlineLvl w:val="5"/>
    </w:pPr>
    <w:rPr>
      <w:rFonts w:ascii="Aptos" w:eastAsia="Aptos" w:hAnsi="Aptos" w:cs="Aptos"/>
      <w:i/>
      <w:iCs/>
      <w:color w:val="595959"/>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pPr>
      <w:spacing w:after="160" w:line="240"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767RdGso+9oYW2uxHT39J6gSDw==">CgMxLjA4AHIhMXNtWUpyd2s0X0ZNX3YtNlhVM3FTLW5mSEs2VzN5SVlR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762</Words>
  <Characters>4196</Characters>
  <Application>Microsoft Office Word</Application>
  <DocSecurity>0</DocSecurity>
  <Lines>34</Lines>
  <Paragraphs>9</Paragraphs>
  <ScaleCrop>false</ScaleCrop>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Armila Martinez Barrera</dc:creator>
  <cp:lastModifiedBy>Trámites Despacho 008 Sala Casación Penal</cp:lastModifiedBy>
  <cp:revision>8</cp:revision>
  <cp:lastPrinted>2026-07-23T21:30:00Z</cp:lastPrinted>
  <dcterms:created xsi:type="dcterms:W3CDTF">2026-07-15T18:24:00Z</dcterms:created>
  <dcterms:modified xsi:type="dcterms:W3CDTF">2026-07-23T21:30:00Z</dcterms:modified>
</cp:coreProperties>
</file>