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FABD" w14:textId="77777777" w:rsidR="009236CA" w:rsidRPr="00D06CB8" w:rsidRDefault="009236CA" w:rsidP="0056217D">
      <w:pPr>
        <w:spacing w:after="0" w:line="360" w:lineRule="auto"/>
        <w:ind w:firstLine="567"/>
        <w:jc w:val="center"/>
        <w:rPr>
          <w:rFonts w:ascii="Bookman Old Style" w:hAnsi="Bookman Old Style" w:cs="Arial"/>
          <w:b/>
          <w:bCs/>
          <w:iCs/>
          <w:sz w:val="27"/>
          <w:szCs w:val="27"/>
        </w:rPr>
      </w:pPr>
      <w:r w:rsidRPr="00D06CB8">
        <w:rPr>
          <w:rFonts w:ascii="Bookman Old Style" w:hAnsi="Bookman Old Style" w:cs="Arial"/>
          <w:b/>
          <w:bCs/>
          <w:iCs/>
          <w:sz w:val="27"/>
          <w:szCs w:val="27"/>
        </w:rPr>
        <w:t>JOSÉ JOAQUÍN URBANO MARTÍNEZ</w:t>
      </w:r>
    </w:p>
    <w:p w14:paraId="5C18E865" w14:textId="77777777" w:rsidR="009236CA" w:rsidRPr="00D06CB8" w:rsidRDefault="009236CA" w:rsidP="0056217D">
      <w:pPr>
        <w:spacing w:after="0" w:line="360" w:lineRule="auto"/>
        <w:ind w:firstLine="567"/>
        <w:jc w:val="center"/>
        <w:rPr>
          <w:rFonts w:ascii="Bookman Old Style" w:hAnsi="Bookman Old Style" w:cs="Arial"/>
          <w:b/>
          <w:sz w:val="27"/>
          <w:szCs w:val="27"/>
        </w:rPr>
      </w:pPr>
      <w:r w:rsidRPr="00D06CB8">
        <w:rPr>
          <w:rFonts w:ascii="Bookman Old Style" w:hAnsi="Bookman Old Style" w:cs="Arial"/>
          <w:b/>
          <w:bCs/>
          <w:iCs/>
          <w:sz w:val="27"/>
          <w:szCs w:val="27"/>
        </w:rPr>
        <w:t>Ma</w:t>
      </w:r>
      <w:r w:rsidRPr="00D06CB8">
        <w:rPr>
          <w:rFonts w:ascii="Bookman Old Style" w:hAnsi="Bookman Old Style" w:cs="Arial"/>
          <w:b/>
          <w:sz w:val="27"/>
          <w:szCs w:val="27"/>
        </w:rPr>
        <w:t>gistrado Ponente</w:t>
      </w:r>
    </w:p>
    <w:p w14:paraId="02021FB9" w14:textId="77777777" w:rsidR="002E7691" w:rsidRPr="00D06CB8" w:rsidRDefault="002E7691" w:rsidP="0056217D">
      <w:pPr>
        <w:spacing w:after="0" w:line="360" w:lineRule="auto"/>
        <w:ind w:firstLine="567"/>
        <w:jc w:val="center"/>
        <w:rPr>
          <w:rFonts w:ascii="Bookman Old Style" w:hAnsi="Bookman Old Style" w:cs="Arial"/>
          <w:b/>
          <w:bCs/>
          <w:color w:val="000000"/>
          <w:sz w:val="27"/>
          <w:szCs w:val="27"/>
        </w:rPr>
      </w:pPr>
    </w:p>
    <w:p w14:paraId="4F6DC3A7" w14:textId="77777777" w:rsidR="00BD1D61" w:rsidRPr="00D06CB8" w:rsidRDefault="00BD1D61" w:rsidP="0056217D">
      <w:pPr>
        <w:spacing w:after="0" w:line="360" w:lineRule="auto"/>
        <w:ind w:firstLine="567"/>
        <w:jc w:val="center"/>
        <w:rPr>
          <w:rFonts w:ascii="Bookman Old Style" w:hAnsi="Bookman Old Style" w:cs="Arial"/>
          <w:b/>
          <w:bCs/>
          <w:color w:val="000000"/>
          <w:sz w:val="27"/>
          <w:szCs w:val="27"/>
        </w:rPr>
      </w:pPr>
    </w:p>
    <w:p w14:paraId="67B4D9A0" w14:textId="1F5901D2" w:rsidR="009236CA" w:rsidRPr="00D06CB8" w:rsidRDefault="00533ED8" w:rsidP="0056217D">
      <w:pPr>
        <w:spacing w:after="0" w:line="360" w:lineRule="auto"/>
        <w:ind w:firstLine="567"/>
        <w:jc w:val="center"/>
        <w:rPr>
          <w:rFonts w:ascii="Bookman Old Style" w:hAnsi="Bookman Old Style" w:cs="Arial"/>
          <w:b/>
          <w:color w:val="000000"/>
          <w:sz w:val="27"/>
          <w:szCs w:val="27"/>
        </w:rPr>
      </w:pPr>
      <w:r w:rsidRPr="00D06CB8">
        <w:rPr>
          <w:rFonts w:ascii="Bookman Old Style" w:hAnsi="Bookman Old Style" w:cs="Arial"/>
          <w:b/>
          <w:bCs/>
          <w:color w:val="000000"/>
          <w:sz w:val="27"/>
          <w:szCs w:val="27"/>
        </w:rPr>
        <w:t>SP720-2026</w:t>
      </w:r>
    </w:p>
    <w:p w14:paraId="200DC849" w14:textId="6197CBED" w:rsidR="009236CA" w:rsidRPr="00D06CB8" w:rsidRDefault="009236CA" w:rsidP="0056217D">
      <w:pPr>
        <w:spacing w:after="0" w:line="360" w:lineRule="auto"/>
        <w:ind w:firstLine="567"/>
        <w:jc w:val="center"/>
        <w:rPr>
          <w:rFonts w:ascii="Bookman Old Style" w:hAnsi="Bookman Old Style" w:cs="Arial"/>
          <w:b/>
          <w:color w:val="000000"/>
          <w:sz w:val="27"/>
          <w:szCs w:val="27"/>
        </w:rPr>
      </w:pPr>
      <w:r w:rsidRPr="00D06CB8">
        <w:rPr>
          <w:rFonts w:ascii="Bookman Old Style" w:hAnsi="Bookman Old Style" w:cs="Arial"/>
          <w:b/>
          <w:color w:val="000000"/>
          <w:sz w:val="27"/>
          <w:szCs w:val="27"/>
        </w:rPr>
        <w:t xml:space="preserve">Radicación </w:t>
      </w:r>
      <w:r w:rsidR="0095113E" w:rsidRPr="00D06CB8">
        <w:rPr>
          <w:rFonts w:ascii="Bookman Old Style" w:hAnsi="Bookman Old Style" w:cs="Arial"/>
          <w:b/>
          <w:color w:val="000000"/>
          <w:sz w:val="27"/>
          <w:szCs w:val="27"/>
        </w:rPr>
        <w:t>65431</w:t>
      </w:r>
    </w:p>
    <w:p w14:paraId="4BC96758" w14:textId="0255B4B7" w:rsidR="009236CA" w:rsidRPr="00D06CB8" w:rsidRDefault="009236CA" w:rsidP="0056217D">
      <w:pPr>
        <w:spacing w:after="0" w:line="360" w:lineRule="auto"/>
        <w:ind w:right="51" w:firstLine="567"/>
        <w:jc w:val="center"/>
        <w:rPr>
          <w:rFonts w:ascii="Bookman Old Style" w:hAnsi="Bookman Old Style"/>
          <w:color w:val="000000"/>
          <w:sz w:val="27"/>
          <w:szCs w:val="27"/>
        </w:rPr>
      </w:pPr>
      <w:r w:rsidRPr="00D06CB8">
        <w:rPr>
          <w:rFonts w:ascii="Bookman Old Style" w:hAnsi="Bookman Old Style"/>
          <w:color w:val="000000"/>
          <w:sz w:val="27"/>
          <w:szCs w:val="27"/>
        </w:rPr>
        <w:t>Aprobado Acta No.</w:t>
      </w:r>
      <w:r w:rsidR="00533ED8" w:rsidRPr="00D06CB8">
        <w:rPr>
          <w:rFonts w:ascii="Bookman Old Style" w:hAnsi="Bookman Old Style"/>
          <w:color w:val="000000"/>
          <w:sz w:val="27"/>
          <w:szCs w:val="27"/>
        </w:rPr>
        <w:t xml:space="preserve"> 214</w:t>
      </w:r>
    </w:p>
    <w:p w14:paraId="47268BEA" w14:textId="518B7746" w:rsidR="1587F3FE" w:rsidRPr="00D06CB8" w:rsidRDefault="1587F3FE" w:rsidP="1587F3FE">
      <w:pPr>
        <w:spacing w:after="0" w:line="360" w:lineRule="auto"/>
        <w:ind w:right="51" w:firstLine="567"/>
        <w:jc w:val="center"/>
        <w:rPr>
          <w:rFonts w:ascii="Bookman Old Style" w:hAnsi="Bookman Old Style"/>
          <w:color w:val="000000" w:themeColor="text1"/>
          <w:sz w:val="27"/>
          <w:szCs w:val="27"/>
        </w:rPr>
      </w:pPr>
    </w:p>
    <w:p w14:paraId="7CC9A36F" w14:textId="77777777" w:rsidR="00BD1D61" w:rsidRPr="00D06CB8" w:rsidRDefault="00BD1D61" w:rsidP="1587F3FE">
      <w:pPr>
        <w:spacing w:after="0" w:line="360" w:lineRule="auto"/>
        <w:ind w:right="51" w:firstLine="567"/>
        <w:jc w:val="center"/>
        <w:rPr>
          <w:rFonts w:ascii="Bookman Old Style" w:hAnsi="Bookman Old Style"/>
          <w:color w:val="000000" w:themeColor="text1"/>
          <w:sz w:val="27"/>
          <w:szCs w:val="27"/>
        </w:rPr>
      </w:pPr>
    </w:p>
    <w:p w14:paraId="5CA2752E" w14:textId="085746FB" w:rsidR="009236CA" w:rsidRPr="00D06CB8" w:rsidRDefault="009236CA" w:rsidP="6F994DCF">
      <w:pPr>
        <w:spacing w:after="0" w:line="360" w:lineRule="auto"/>
        <w:ind w:firstLine="567"/>
        <w:jc w:val="center"/>
        <w:rPr>
          <w:rFonts w:ascii="Bookman Old Style" w:hAnsi="Bookman Old Style"/>
          <w:sz w:val="27"/>
          <w:szCs w:val="27"/>
          <w:lang w:val="es-ES"/>
        </w:rPr>
      </w:pPr>
      <w:r w:rsidRPr="00D06CB8">
        <w:rPr>
          <w:rFonts w:ascii="Bookman Old Style" w:hAnsi="Bookman Old Style"/>
          <w:sz w:val="27"/>
          <w:szCs w:val="27"/>
          <w:lang w:val="es-ES"/>
        </w:rPr>
        <w:t xml:space="preserve">Bogotá, D. C., </w:t>
      </w:r>
      <w:r w:rsidR="00A26F89" w:rsidRPr="00D06CB8">
        <w:rPr>
          <w:rFonts w:ascii="Bookman Old Style" w:hAnsi="Bookman Old Style"/>
          <w:sz w:val="27"/>
          <w:szCs w:val="27"/>
          <w:lang w:val="es-ES"/>
        </w:rPr>
        <w:t>primero</w:t>
      </w:r>
      <w:r w:rsidRPr="00D06CB8">
        <w:rPr>
          <w:rFonts w:ascii="Bookman Old Style" w:hAnsi="Bookman Old Style"/>
          <w:sz w:val="27"/>
          <w:szCs w:val="27"/>
          <w:lang w:val="es-ES"/>
        </w:rPr>
        <w:t xml:space="preserve"> (</w:t>
      </w:r>
      <w:r w:rsidR="00533ED8" w:rsidRPr="00D06CB8">
        <w:rPr>
          <w:rFonts w:ascii="Bookman Old Style" w:hAnsi="Bookman Old Style"/>
          <w:sz w:val="27"/>
          <w:szCs w:val="27"/>
          <w:lang w:val="es-ES"/>
        </w:rPr>
        <w:t>1°</w:t>
      </w:r>
      <w:r w:rsidRPr="00D06CB8">
        <w:rPr>
          <w:rFonts w:ascii="Bookman Old Style" w:hAnsi="Bookman Old Style"/>
          <w:sz w:val="27"/>
          <w:szCs w:val="27"/>
          <w:lang w:val="es-ES"/>
        </w:rPr>
        <w:t>) d</w:t>
      </w:r>
      <w:r w:rsidR="001363F8" w:rsidRPr="00D06CB8">
        <w:rPr>
          <w:rFonts w:ascii="Bookman Old Style" w:hAnsi="Bookman Old Style"/>
          <w:sz w:val="27"/>
          <w:szCs w:val="27"/>
          <w:lang w:val="es-ES"/>
        </w:rPr>
        <w:t xml:space="preserve">e </w:t>
      </w:r>
      <w:r w:rsidR="00A26F89" w:rsidRPr="00D06CB8">
        <w:rPr>
          <w:rFonts w:ascii="Bookman Old Style" w:hAnsi="Bookman Old Style"/>
          <w:sz w:val="27"/>
          <w:szCs w:val="27"/>
          <w:lang w:val="es-ES"/>
        </w:rPr>
        <w:t>julio</w:t>
      </w:r>
      <w:r w:rsidR="00EB7F2E" w:rsidRPr="00D06CB8">
        <w:rPr>
          <w:rFonts w:ascii="Bookman Old Style" w:hAnsi="Bookman Old Style"/>
          <w:sz w:val="27"/>
          <w:szCs w:val="27"/>
          <w:lang w:val="es-ES"/>
        </w:rPr>
        <w:t xml:space="preserve"> </w:t>
      </w:r>
      <w:r w:rsidRPr="00D06CB8">
        <w:rPr>
          <w:rFonts w:ascii="Bookman Old Style" w:hAnsi="Bookman Old Style"/>
          <w:sz w:val="27"/>
          <w:szCs w:val="27"/>
          <w:lang w:val="es-ES"/>
        </w:rPr>
        <w:t>de dos mil veinti</w:t>
      </w:r>
      <w:r w:rsidR="00EB7F2E" w:rsidRPr="00D06CB8">
        <w:rPr>
          <w:rFonts w:ascii="Bookman Old Style" w:hAnsi="Bookman Old Style"/>
          <w:sz w:val="27"/>
          <w:szCs w:val="27"/>
          <w:lang w:val="es-ES"/>
        </w:rPr>
        <w:t>séis</w:t>
      </w:r>
      <w:r w:rsidRPr="00D06CB8">
        <w:rPr>
          <w:rFonts w:ascii="Bookman Old Style" w:hAnsi="Bookman Old Style"/>
          <w:sz w:val="27"/>
          <w:szCs w:val="27"/>
          <w:lang w:val="es-ES"/>
        </w:rPr>
        <w:t xml:space="preserve"> (202</w:t>
      </w:r>
      <w:r w:rsidR="00EB7F2E" w:rsidRPr="00D06CB8">
        <w:rPr>
          <w:rFonts w:ascii="Bookman Old Style" w:hAnsi="Bookman Old Style"/>
          <w:sz w:val="27"/>
          <w:szCs w:val="27"/>
          <w:lang w:val="es-ES"/>
        </w:rPr>
        <w:t>6</w:t>
      </w:r>
      <w:r w:rsidRPr="00D06CB8">
        <w:rPr>
          <w:rFonts w:ascii="Bookman Old Style" w:hAnsi="Bookman Old Style"/>
          <w:sz w:val="27"/>
          <w:szCs w:val="27"/>
          <w:lang w:val="es-ES"/>
        </w:rPr>
        <w:t>)</w:t>
      </w:r>
    </w:p>
    <w:p w14:paraId="5F764997" w14:textId="77777777" w:rsidR="009236CA" w:rsidRPr="00D06CB8" w:rsidRDefault="009236CA" w:rsidP="0056217D">
      <w:pPr>
        <w:spacing w:after="0" w:line="360" w:lineRule="auto"/>
        <w:ind w:right="51" w:firstLine="567"/>
        <w:jc w:val="both"/>
        <w:rPr>
          <w:rFonts w:ascii="Bookman Old Style" w:hAnsi="Bookman Old Style"/>
          <w:color w:val="000000"/>
          <w:sz w:val="27"/>
          <w:szCs w:val="27"/>
        </w:rPr>
      </w:pPr>
    </w:p>
    <w:p w14:paraId="57F20490" w14:textId="77777777" w:rsidR="009236CA" w:rsidRPr="00D06CB8" w:rsidRDefault="009236CA" w:rsidP="0056217D">
      <w:pPr>
        <w:pStyle w:val="Ttulo6"/>
        <w:spacing w:before="0" w:line="360" w:lineRule="auto"/>
        <w:ind w:right="51" w:firstLine="567"/>
        <w:jc w:val="center"/>
        <w:rPr>
          <w:rFonts w:ascii="Bookman Old Style" w:hAnsi="Bookman Old Style"/>
          <w:b/>
          <w:bCs/>
          <w:i w:val="0"/>
          <w:iCs w:val="0"/>
          <w:color w:val="000000"/>
          <w:sz w:val="27"/>
          <w:szCs w:val="27"/>
          <w:u w:val="single"/>
        </w:rPr>
      </w:pPr>
      <w:r w:rsidRPr="00D06CB8">
        <w:rPr>
          <w:rFonts w:ascii="Bookman Old Style" w:hAnsi="Bookman Old Style"/>
          <w:b/>
          <w:bCs/>
          <w:i w:val="0"/>
          <w:iCs w:val="0"/>
          <w:color w:val="000000"/>
          <w:sz w:val="27"/>
          <w:szCs w:val="27"/>
        </w:rPr>
        <w:t>I. OBJETO DE LA DECISIÓN</w:t>
      </w:r>
    </w:p>
    <w:p w14:paraId="7AA5F8ED" w14:textId="77777777" w:rsidR="009236CA" w:rsidRPr="00D06CB8" w:rsidRDefault="009236CA" w:rsidP="0056217D">
      <w:pPr>
        <w:spacing w:after="0" w:line="360" w:lineRule="auto"/>
        <w:ind w:firstLine="567"/>
        <w:jc w:val="both"/>
        <w:rPr>
          <w:rFonts w:ascii="Bookman Old Style" w:hAnsi="Bookman Old Style" w:cs="Arial"/>
          <w:b/>
          <w:color w:val="000000"/>
          <w:sz w:val="27"/>
          <w:szCs w:val="27"/>
        </w:rPr>
      </w:pPr>
    </w:p>
    <w:p w14:paraId="4C4B9C86" w14:textId="74728014" w:rsidR="009236CA" w:rsidRPr="00D06CB8" w:rsidRDefault="009236CA" w:rsidP="6F994DCF">
      <w:pPr>
        <w:pStyle w:val="Textoindependiente21"/>
        <w:ind w:right="-270" w:firstLine="567"/>
        <w:rPr>
          <w:rFonts w:ascii="Bookman Old Style" w:hAnsi="Bookman Old Style"/>
          <w:b/>
          <w:bCs/>
          <w:smallCaps/>
          <w:color w:val="000000"/>
          <w:spacing w:val="-3"/>
          <w:sz w:val="27"/>
          <w:szCs w:val="27"/>
          <w:lang w:val="es-ES"/>
        </w:rPr>
      </w:pPr>
      <w:r w:rsidRPr="00D06CB8">
        <w:rPr>
          <w:rFonts w:ascii="Bookman Old Style" w:hAnsi="Bookman Old Style"/>
          <w:color w:val="000000"/>
          <w:spacing w:val="-3"/>
          <w:sz w:val="27"/>
          <w:szCs w:val="27"/>
          <w:lang w:val="es-ES"/>
        </w:rPr>
        <w:t xml:space="preserve">La Sala resuelve </w:t>
      </w:r>
      <w:r w:rsidR="007C4896" w:rsidRPr="00D06CB8">
        <w:rPr>
          <w:rFonts w:ascii="Bookman Old Style" w:hAnsi="Bookman Old Style"/>
          <w:color w:val="000000"/>
          <w:spacing w:val="-3"/>
          <w:sz w:val="27"/>
          <w:szCs w:val="27"/>
          <w:lang w:val="es-ES"/>
        </w:rPr>
        <w:t>la</w:t>
      </w:r>
      <w:r w:rsidRPr="00D06CB8">
        <w:rPr>
          <w:rFonts w:ascii="Bookman Old Style" w:hAnsi="Bookman Old Style"/>
          <w:color w:val="000000"/>
          <w:spacing w:val="-3"/>
          <w:sz w:val="27"/>
          <w:szCs w:val="27"/>
          <w:lang w:val="es-ES"/>
        </w:rPr>
        <w:t xml:space="preserve"> impugnación especial presentad</w:t>
      </w:r>
      <w:r w:rsidR="007C4896" w:rsidRPr="00D06CB8">
        <w:rPr>
          <w:rFonts w:ascii="Bookman Old Style" w:hAnsi="Bookman Old Style"/>
          <w:color w:val="000000"/>
          <w:spacing w:val="-3"/>
          <w:sz w:val="27"/>
          <w:szCs w:val="27"/>
          <w:lang w:val="es-ES"/>
        </w:rPr>
        <w:t xml:space="preserve">a </w:t>
      </w:r>
      <w:r w:rsidRPr="00D06CB8">
        <w:rPr>
          <w:rFonts w:ascii="Bookman Old Style" w:hAnsi="Bookman Old Style"/>
          <w:color w:val="000000"/>
          <w:spacing w:val="-3"/>
          <w:sz w:val="27"/>
          <w:szCs w:val="27"/>
          <w:lang w:val="es-ES"/>
        </w:rPr>
        <w:t xml:space="preserve">por la defensa contra la sentencia </w:t>
      </w:r>
      <w:r w:rsidRPr="00D06CB8">
        <w:rPr>
          <w:rFonts w:ascii="Bookman Old Style" w:hAnsi="Bookman Old Style"/>
          <w:spacing w:val="-4"/>
          <w:sz w:val="27"/>
          <w:szCs w:val="27"/>
          <w:lang w:val="es-ES"/>
        </w:rPr>
        <w:t xml:space="preserve">proferida el </w:t>
      </w:r>
      <w:r w:rsidR="009C3BFD" w:rsidRPr="00D06CB8">
        <w:rPr>
          <w:rFonts w:ascii="Bookman Old Style" w:hAnsi="Bookman Old Style"/>
          <w:spacing w:val="-4"/>
          <w:sz w:val="27"/>
          <w:szCs w:val="27"/>
          <w:lang w:val="es-ES"/>
        </w:rPr>
        <w:t>2</w:t>
      </w:r>
      <w:r w:rsidR="0095113E" w:rsidRPr="00D06CB8">
        <w:rPr>
          <w:rFonts w:ascii="Bookman Old Style" w:hAnsi="Bookman Old Style"/>
          <w:spacing w:val="-4"/>
          <w:sz w:val="27"/>
          <w:szCs w:val="27"/>
          <w:lang w:val="es-ES"/>
        </w:rPr>
        <w:t>2</w:t>
      </w:r>
      <w:r w:rsidR="009C3BFD" w:rsidRPr="00D06CB8">
        <w:rPr>
          <w:rFonts w:ascii="Bookman Old Style" w:hAnsi="Bookman Old Style"/>
          <w:spacing w:val="-4"/>
          <w:sz w:val="27"/>
          <w:szCs w:val="27"/>
          <w:lang w:val="es-ES"/>
        </w:rPr>
        <w:t xml:space="preserve"> de </w:t>
      </w:r>
      <w:r w:rsidR="0095113E" w:rsidRPr="00D06CB8">
        <w:rPr>
          <w:rFonts w:ascii="Bookman Old Style" w:hAnsi="Bookman Old Style"/>
          <w:spacing w:val="-4"/>
          <w:sz w:val="27"/>
          <w:szCs w:val="27"/>
          <w:lang w:val="es-ES"/>
        </w:rPr>
        <w:t>abril</w:t>
      </w:r>
      <w:r w:rsidR="009C3BFD" w:rsidRPr="00D06CB8">
        <w:rPr>
          <w:rFonts w:ascii="Bookman Old Style" w:hAnsi="Bookman Old Style"/>
          <w:spacing w:val="-4"/>
          <w:sz w:val="27"/>
          <w:szCs w:val="27"/>
          <w:lang w:val="es-ES"/>
        </w:rPr>
        <w:t xml:space="preserve"> de 202</w:t>
      </w:r>
      <w:r w:rsidR="0095113E" w:rsidRPr="00D06CB8">
        <w:rPr>
          <w:rFonts w:ascii="Bookman Old Style" w:hAnsi="Bookman Old Style"/>
          <w:spacing w:val="-4"/>
          <w:sz w:val="27"/>
          <w:szCs w:val="27"/>
          <w:lang w:val="es-ES"/>
        </w:rPr>
        <w:t>2</w:t>
      </w:r>
      <w:r w:rsidRPr="00D06CB8">
        <w:rPr>
          <w:rFonts w:ascii="Bookman Old Style" w:hAnsi="Bookman Old Style"/>
          <w:spacing w:val="-4"/>
          <w:sz w:val="27"/>
          <w:szCs w:val="27"/>
          <w:lang w:val="es-ES"/>
        </w:rPr>
        <w:t xml:space="preserve"> por la Sala </w:t>
      </w:r>
      <w:r w:rsidR="0095113E" w:rsidRPr="00D06CB8">
        <w:rPr>
          <w:rFonts w:ascii="Bookman Old Style" w:hAnsi="Bookman Old Style"/>
          <w:spacing w:val="-4"/>
          <w:sz w:val="27"/>
          <w:szCs w:val="27"/>
          <w:lang w:val="es-ES"/>
        </w:rPr>
        <w:t>Penal</w:t>
      </w:r>
      <w:r w:rsidRPr="00D06CB8">
        <w:rPr>
          <w:rFonts w:ascii="Bookman Old Style" w:hAnsi="Bookman Old Style"/>
          <w:spacing w:val="-4"/>
          <w:sz w:val="27"/>
          <w:szCs w:val="27"/>
          <w:lang w:val="es-ES"/>
        </w:rPr>
        <w:t xml:space="preserve"> del Tribunal Superior de </w:t>
      </w:r>
      <w:r w:rsidR="0095113E" w:rsidRPr="00D06CB8">
        <w:rPr>
          <w:rFonts w:ascii="Bookman Old Style" w:hAnsi="Bookman Old Style"/>
          <w:spacing w:val="-4"/>
          <w:sz w:val="27"/>
          <w:szCs w:val="27"/>
          <w:lang w:val="es-ES"/>
        </w:rPr>
        <w:t>Ibagué</w:t>
      </w:r>
      <w:r w:rsidR="009D1D41" w:rsidRPr="00D06CB8">
        <w:rPr>
          <w:rFonts w:ascii="Bookman Old Style" w:hAnsi="Bookman Old Style"/>
          <w:spacing w:val="-4"/>
          <w:sz w:val="27"/>
          <w:szCs w:val="27"/>
          <w:lang w:val="es-ES"/>
        </w:rPr>
        <w:t>. Con esta,</w:t>
      </w:r>
      <w:r w:rsidRPr="00D06CB8">
        <w:rPr>
          <w:rFonts w:ascii="Bookman Old Style" w:hAnsi="Bookman Old Style"/>
          <w:spacing w:val="-4"/>
          <w:sz w:val="27"/>
          <w:szCs w:val="27"/>
          <w:lang w:val="es-ES"/>
        </w:rPr>
        <w:t xml:space="preserve"> revocó el fallo del Juzgado Primero </w:t>
      </w:r>
      <w:r w:rsidR="00BD1D61" w:rsidRPr="00D06CB8">
        <w:rPr>
          <w:rFonts w:ascii="Bookman Old Style" w:hAnsi="Bookman Old Style"/>
          <w:spacing w:val="-4"/>
          <w:sz w:val="27"/>
          <w:szCs w:val="27"/>
        </w:rPr>
        <w:t>Promiscuo Municipal de Purificación</w:t>
      </w:r>
      <w:r w:rsidR="00BD1D61" w:rsidRPr="00D06CB8">
        <w:rPr>
          <w:rFonts w:ascii="Bookman Old Style" w:hAnsi="Bookman Old Style"/>
          <w:spacing w:val="-4"/>
          <w:sz w:val="27"/>
          <w:szCs w:val="27"/>
          <w:lang w:val="es-ES"/>
        </w:rPr>
        <w:t xml:space="preserve"> </w:t>
      </w:r>
      <w:r w:rsidRPr="00D06CB8">
        <w:rPr>
          <w:rFonts w:ascii="Bookman Old Style" w:hAnsi="Bookman Old Style"/>
          <w:spacing w:val="-4"/>
          <w:sz w:val="27"/>
          <w:szCs w:val="27"/>
          <w:lang w:val="es-ES"/>
        </w:rPr>
        <w:t xml:space="preserve">Penal </w:t>
      </w:r>
      <w:r w:rsidR="0095113E" w:rsidRPr="00D06CB8">
        <w:rPr>
          <w:rFonts w:ascii="Bookman Old Style" w:hAnsi="Bookman Old Style"/>
          <w:spacing w:val="-4"/>
          <w:sz w:val="27"/>
          <w:szCs w:val="27"/>
          <w:lang w:val="es-ES"/>
        </w:rPr>
        <w:t>de Purificación</w:t>
      </w:r>
      <w:r w:rsidR="005570C1" w:rsidRPr="00D06CB8">
        <w:rPr>
          <w:rFonts w:ascii="Bookman Old Style" w:hAnsi="Bookman Old Style"/>
          <w:spacing w:val="-4"/>
          <w:sz w:val="27"/>
          <w:szCs w:val="27"/>
          <w:lang w:val="es-ES"/>
        </w:rPr>
        <w:t xml:space="preserve"> (Tolima)</w:t>
      </w:r>
      <w:r w:rsidR="003D2E35" w:rsidRPr="00D06CB8">
        <w:rPr>
          <w:rFonts w:ascii="Bookman Old Style" w:hAnsi="Bookman Old Style"/>
          <w:spacing w:val="-4"/>
          <w:sz w:val="27"/>
          <w:szCs w:val="27"/>
          <w:lang w:val="es-ES"/>
        </w:rPr>
        <w:t xml:space="preserve"> </w:t>
      </w:r>
      <w:r w:rsidRPr="00D06CB8">
        <w:rPr>
          <w:rFonts w:ascii="Bookman Old Style" w:hAnsi="Bookman Old Style"/>
          <w:spacing w:val="-4"/>
          <w:sz w:val="27"/>
          <w:szCs w:val="27"/>
          <w:lang w:val="es-ES"/>
        </w:rPr>
        <w:t>y</w:t>
      </w:r>
      <w:r w:rsidR="007D0445" w:rsidRPr="00D06CB8">
        <w:rPr>
          <w:rFonts w:ascii="Bookman Old Style" w:hAnsi="Bookman Old Style"/>
          <w:spacing w:val="-4"/>
          <w:sz w:val="27"/>
          <w:szCs w:val="27"/>
          <w:lang w:val="es-ES"/>
        </w:rPr>
        <w:t xml:space="preserve"> declaró penalmente responsable</w:t>
      </w:r>
      <w:r w:rsidR="005570C1" w:rsidRPr="00D06CB8">
        <w:rPr>
          <w:rFonts w:ascii="Bookman Old Style" w:hAnsi="Bookman Old Style"/>
          <w:spacing w:val="-4"/>
          <w:sz w:val="27"/>
          <w:szCs w:val="27"/>
          <w:lang w:val="es-ES"/>
        </w:rPr>
        <w:t>s</w:t>
      </w:r>
      <w:r w:rsidRPr="00D06CB8">
        <w:rPr>
          <w:rFonts w:ascii="Bookman Old Style" w:hAnsi="Bookman Old Style"/>
          <w:spacing w:val="-4"/>
          <w:sz w:val="27"/>
          <w:szCs w:val="27"/>
          <w:lang w:val="es-ES"/>
        </w:rPr>
        <w:t>, por primera vez,</w:t>
      </w:r>
      <w:r w:rsidR="00A244B5" w:rsidRPr="00D06CB8">
        <w:rPr>
          <w:rFonts w:ascii="Bookman Old Style" w:hAnsi="Bookman Old Style"/>
          <w:spacing w:val="-4"/>
          <w:sz w:val="27"/>
          <w:szCs w:val="27"/>
          <w:lang w:val="es-ES"/>
        </w:rPr>
        <w:t xml:space="preserve"> a </w:t>
      </w:r>
      <w:r w:rsidR="0095113E" w:rsidRPr="00D06CB8">
        <w:rPr>
          <w:rFonts w:ascii="Bookman Old Style" w:hAnsi="Bookman Old Style"/>
          <w:smallCaps/>
          <w:color w:val="000000"/>
          <w:spacing w:val="-3"/>
          <w:sz w:val="27"/>
          <w:szCs w:val="27"/>
          <w:lang w:val="es-ES"/>
        </w:rPr>
        <w:t xml:space="preserve">Armando Loaiza Céspedes, Luis Enrique Peña Camacho </w:t>
      </w:r>
      <w:r w:rsidR="0095113E" w:rsidRPr="00D06CB8">
        <w:rPr>
          <w:rFonts w:ascii="Bookman Old Style" w:hAnsi="Bookman Old Style"/>
          <w:color w:val="000000"/>
          <w:spacing w:val="-3"/>
          <w:sz w:val="27"/>
          <w:szCs w:val="27"/>
          <w:lang w:val="es-ES"/>
        </w:rPr>
        <w:t>y</w:t>
      </w:r>
      <w:r w:rsidR="0095113E" w:rsidRPr="00D06CB8">
        <w:rPr>
          <w:rFonts w:ascii="Bookman Old Style" w:hAnsi="Bookman Old Style"/>
          <w:smallCaps/>
          <w:color w:val="000000"/>
          <w:spacing w:val="-3"/>
          <w:sz w:val="27"/>
          <w:szCs w:val="27"/>
          <w:lang w:val="es-ES"/>
        </w:rPr>
        <w:t xml:space="preserve"> </w:t>
      </w:r>
      <w:r w:rsidR="005570C1" w:rsidRPr="00D06CB8">
        <w:rPr>
          <w:rFonts w:ascii="Bookman Old Style" w:hAnsi="Bookman Old Style"/>
          <w:smallCaps/>
          <w:color w:val="000000"/>
          <w:spacing w:val="-3"/>
          <w:sz w:val="27"/>
          <w:szCs w:val="27"/>
          <w:lang w:val="es-ES"/>
        </w:rPr>
        <w:t>É</w:t>
      </w:r>
      <w:r w:rsidR="0095113E" w:rsidRPr="00D06CB8">
        <w:rPr>
          <w:rFonts w:ascii="Bookman Old Style" w:hAnsi="Bookman Old Style"/>
          <w:smallCaps/>
          <w:color w:val="000000"/>
          <w:spacing w:val="-3"/>
          <w:sz w:val="27"/>
          <w:szCs w:val="27"/>
          <w:lang w:val="es-ES"/>
        </w:rPr>
        <w:t>dgar Triana</w:t>
      </w:r>
      <w:r w:rsidR="0095113E" w:rsidRPr="00D06CB8">
        <w:rPr>
          <w:rFonts w:ascii="Bookman Old Style" w:hAnsi="Bookman Old Style"/>
          <w:b/>
          <w:bCs/>
          <w:smallCaps/>
          <w:color w:val="000000"/>
          <w:spacing w:val="-3"/>
          <w:sz w:val="27"/>
          <w:szCs w:val="27"/>
          <w:lang w:val="es-ES"/>
        </w:rPr>
        <w:t xml:space="preserve"> </w:t>
      </w:r>
      <w:r w:rsidRPr="00D06CB8">
        <w:rPr>
          <w:rFonts w:ascii="Bookman Old Style" w:hAnsi="Bookman Old Style"/>
          <w:spacing w:val="-4"/>
          <w:sz w:val="27"/>
          <w:szCs w:val="27"/>
          <w:lang w:val="es-ES"/>
        </w:rPr>
        <w:t xml:space="preserve">como </w:t>
      </w:r>
      <w:r w:rsidR="0095113E" w:rsidRPr="00D06CB8">
        <w:rPr>
          <w:rFonts w:ascii="Bookman Old Style" w:hAnsi="Bookman Old Style"/>
          <w:spacing w:val="-4"/>
          <w:sz w:val="27"/>
          <w:szCs w:val="27"/>
          <w:lang w:val="es-ES"/>
        </w:rPr>
        <w:t xml:space="preserve">coautores </w:t>
      </w:r>
      <w:r w:rsidRPr="00D06CB8">
        <w:rPr>
          <w:rFonts w:ascii="Bookman Old Style" w:hAnsi="Bookman Old Style"/>
          <w:spacing w:val="-4"/>
          <w:sz w:val="27"/>
          <w:szCs w:val="27"/>
          <w:lang w:val="es-ES"/>
        </w:rPr>
        <w:t>del delito de</w:t>
      </w:r>
      <w:r w:rsidR="00F1159C" w:rsidRPr="00D06CB8">
        <w:rPr>
          <w:rFonts w:ascii="Bookman Old Style" w:hAnsi="Bookman Old Style"/>
          <w:spacing w:val="-4"/>
          <w:sz w:val="27"/>
          <w:szCs w:val="27"/>
          <w:lang w:val="es-ES"/>
        </w:rPr>
        <w:t xml:space="preserve"> </w:t>
      </w:r>
      <w:r w:rsidR="0095113E" w:rsidRPr="00D06CB8">
        <w:rPr>
          <w:rFonts w:ascii="Bookman Old Style" w:hAnsi="Bookman Old Style"/>
          <w:spacing w:val="-4"/>
          <w:sz w:val="27"/>
          <w:szCs w:val="27"/>
          <w:lang w:val="es-ES"/>
        </w:rPr>
        <w:t>invasión de tierras y edificaciones</w:t>
      </w:r>
      <w:r w:rsidR="008F1F87" w:rsidRPr="00D06CB8">
        <w:rPr>
          <w:rFonts w:ascii="Bookman Old Style" w:hAnsi="Bookman Old Style"/>
          <w:spacing w:val="-4"/>
          <w:sz w:val="27"/>
          <w:szCs w:val="27"/>
          <w:lang w:val="es-ES"/>
        </w:rPr>
        <w:t xml:space="preserve"> agravado</w:t>
      </w:r>
      <w:r w:rsidR="004A4FDB" w:rsidRPr="00D06CB8">
        <w:rPr>
          <w:rFonts w:ascii="Bookman Old Style" w:hAnsi="Bookman Old Style"/>
          <w:spacing w:val="-4"/>
          <w:sz w:val="27"/>
          <w:szCs w:val="27"/>
          <w:lang w:val="es-ES"/>
        </w:rPr>
        <w:t xml:space="preserve"> (art. 263</w:t>
      </w:r>
      <w:r w:rsidR="009D1D41" w:rsidRPr="00D06CB8">
        <w:rPr>
          <w:rFonts w:ascii="Bookman Old Style" w:hAnsi="Bookman Old Style"/>
          <w:spacing w:val="-4"/>
          <w:sz w:val="27"/>
          <w:szCs w:val="27"/>
          <w:lang w:val="es-ES"/>
        </w:rPr>
        <w:t>.3</w:t>
      </w:r>
      <w:r w:rsidR="004A4FDB" w:rsidRPr="00D06CB8">
        <w:rPr>
          <w:rFonts w:ascii="Bookman Old Style" w:hAnsi="Bookman Old Style"/>
          <w:spacing w:val="-4"/>
          <w:sz w:val="27"/>
          <w:szCs w:val="27"/>
          <w:lang w:val="es-ES"/>
        </w:rPr>
        <w:t xml:space="preserve"> Código penal - Cp).</w:t>
      </w:r>
    </w:p>
    <w:p w14:paraId="6BB5C6B8" w14:textId="77777777" w:rsidR="00BD1D61" w:rsidRPr="00D06CB8" w:rsidRDefault="00BD1D61" w:rsidP="00D1612D">
      <w:pPr>
        <w:pStyle w:val="Textoindependiente21"/>
        <w:rPr>
          <w:rFonts w:ascii="Bookman Old Style" w:hAnsi="Bookman Old Style"/>
          <w:color w:val="000000"/>
          <w:spacing w:val="-3"/>
          <w:sz w:val="27"/>
          <w:szCs w:val="27"/>
        </w:rPr>
      </w:pPr>
    </w:p>
    <w:p w14:paraId="78E31BBE" w14:textId="77777777" w:rsidR="009236CA" w:rsidRPr="00D06CB8" w:rsidRDefault="009236CA" w:rsidP="0056217D">
      <w:pPr>
        <w:pStyle w:val="Textoindependiente"/>
        <w:spacing w:after="0" w:line="360" w:lineRule="auto"/>
        <w:ind w:firstLine="567"/>
        <w:jc w:val="center"/>
        <w:rPr>
          <w:rFonts w:ascii="Bookman Old Style" w:hAnsi="Bookman Old Style"/>
          <w:b/>
          <w:color w:val="000000"/>
          <w:spacing w:val="-3"/>
          <w:sz w:val="27"/>
          <w:szCs w:val="27"/>
        </w:rPr>
      </w:pPr>
      <w:r w:rsidRPr="00D06CB8">
        <w:rPr>
          <w:rFonts w:ascii="Bookman Old Style" w:hAnsi="Bookman Old Style"/>
          <w:b/>
          <w:color w:val="000000"/>
          <w:spacing w:val="-3"/>
          <w:sz w:val="27"/>
          <w:szCs w:val="27"/>
        </w:rPr>
        <w:t>II. SÍNTESIS DE LOS HECHOS</w:t>
      </w:r>
    </w:p>
    <w:p w14:paraId="5BBE50E0" w14:textId="77777777" w:rsidR="00024980" w:rsidRPr="00D06CB8" w:rsidRDefault="00024980" w:rsidP="0056217D">
      <w:pPr>
        <w:pStyle w:val="Textoindependiente"/>
        <w:spacing w:after="0" w:line="360" w:lineRule="auto"/>
        <w:ind w:firstLine="567"/>
        <w:rPr>
          <w:rFonts w:ascii="Bookman Old Style" w:hAnsi="Bookman Old Style"/>
          <w:b/>
          <w:color w:val="000000"/>
          <w:spacing w:val="-3"/>
          <w:sz w:val="27"/>
          <w:szCs w:val="27"/>
        </w:rPr>
      </w:pPr>
    </w:p>
    <w:p w14:paraId="1583AAA8" w14:textId="3A193CC6" w:rsidR="00462EC0" w:rsidRPr="00D06CB8" w:rsidRDefault="00462EC0" w:rsidP="0056217D">
      <w:pPr>
        <w:pStyle w:val="Textoindependiente"/>
        <w:numPr>
          <w:ilvl w:val="0"/>
          <w:numId w:val="4"/>
        </w:numPr>
        <w:spacing w:after="0" w:line="360" w:lineRule="auto"/>
        <w:ind w:left="0" w:firstLine="567"/>
        <w:jc w:val="both"/>
        <w:rPr>
          <w:rFonts w:ascii="Bookman Old Style" w:hAnsi="Bookman Old Style"/>
          <w:bCs/>
          <w:color w:val="000000"/>
          <w:spacing w:val="-3"/>
          <w:sz w:val="27"/>
          <w:szCs w:val="27"/>
          <w:shd w:val="clear" w:color="auto" w:fill="FFFFFF" w:themeFill="background1"/>
        </w:rPr>
      </w:pPr>
      <w:bookmarkStart w:id="0" w:name="_Hlk195420990"/>
      <w:r w:rsidRPr="00D06CB8">
        <w:rPr>
          <w:rFonts w:ascii="Bookman Old Style" w:hAnsi="Bookman Old Style"/>
          <w:bCs/>
          <w:color w:val="000000"/>
          <w:spacing w:val="-3"/>
          <w:sz w:val="27"/>
          <w:szCs w:val="27"/>
          <w:shd w:val="clear" w:color="auto" w:fill="FFFFFF" w:themeFill="background1"/>
        </w:rPr>
        <w:t xml:space="preserve">El 25 de mayo de 2012, Martha Lucía Montiel Morales adquirió en remate el predio rural </w:t>
      </w:r>
      <w:r w:rsidR="009D1D41" w:rsidRPr="00D06CB8">
        <w:rPr>
          <w:rFonts w:ascii="Bookman Old Style" w:hAnsi="Bookman Old Style"/>
          <w:bCs/>
          <w:color w:val="000000"/>
          <w:spacing w:val="-3"/>
          <w:sz w:val="27"/>
          <w:szCs w:val="27"/>
          <w:shd w:val="clear" w:color="auto" w:fill="FFFFFF" w:themeFill="background1"/>
        </w:rPr>
        <w:t>“</w:t>
      </w:r>
      <w:r w:rsidRPr="00D06CB8">
        <w:rPr>
          <w:rFonts w:ascii="Bookman Old Style" w:hAnsi="Bookman Old Style"/>
          <w:bCs/>
          <w:color w:val="000000"/>
          <w:spacing w:val="-3"/>
          <w:sz w:val="27"/>
          <w:szCs w:val="27"/>
          <w:shd w:val="clear" w:color="auto" w:fill="FFFFFF" w:themeFill="background1"/>
        </w:rPr>
        <w:t>Las Mercedes</w:t>
      </w:r>
      <w:r w:rsidR="009D1D41" w:rsidRPr="00D06CB8">
        <w:rPr>
          <w:rFonts w:ascii="Bookman Old Style" w:hAnsi="Bookman Old Style"/>
          <w:bCs/>
          <w:color w:val="000000"/>
          <w:spacing w:val="-3"/>
          <w:sz w:val="27"/>
          <w:szCs w:val="27"/>
          <w:shd w:val="clear" w:color="auto" w:fill="FFFFFF" w:themeFill="background1"/>
        </w:rPr>
        <w:t>”</w:t>
      </w:r>
      <w:r w:rsidRPr="00D06CB8">
        <w:rPr>
          <w:rFonts w:ascii="Bookman Old Style" w:hAnsi="Bookman Old Style"/>
          <w:bCs/>
          <w:color w:val="000000"/>
          <w:spacing w:val="-3"/>
          <w:sz w:val="27"/>
          <w:szCs w:val="27"/>
          <w:shd w:val="clear" w:color="auto" w:fill="FFFFFF" w:themeFill="background1"/>
        </w:rPr>
        <w:t xml:space="preserve">, ubicado en la </w:t>
      </w:r>
      <w:r w:rsidRPr="00D06CB8">
        <w:rPr>
          <w:rFonts w:ascii="Bookman Old Style" w:hAnsi="Bookman Old Style"/>
          <w:bCs/>
          <w:color w:val="000000"/>
          <w:spacing w:val="-3"/>
          <w:sz w:val="27"/>
          <w:szCs w:val="27"/>
          <w:shd w:val="clear" w:color="auto" w:fill="FFFFFF" w:themeFill="background1"/>
        </w:rPr>
        <w:lastRenderedPageBreak/>
        <w:t xml:space="preserve">vereda Lozanía, </w:t>
      </w:r>
      <w:r w:rsidR="009D1D41" w:rsidRPr="00D06CB8">
        <w:rPr>
          <w:rFonts w:ascii="Bookman Old Style" w:hAnsi="Bookman Old Style"/>
          <w:bCs/>
          <w:color w:val="000000"/>
          <w:spacing w:val="-3"/>
          <w:sz w:val="27"/>
          <w:szCs w:val="27"/>
          <w:shd w:val="clear" w:color="auto" w:fill="FFFFFF" w:themeFill="background1"/>
        </w:rPr>
        <w:t>municipio</w:t>
      </w:r>
      <w:r w:rsidRPr="00D06CB8">
        <w:rPr>
          <w:rFonts w:ascii="Bookman Old Style" w:hAnsi="Bookman Old Style"/>
          <w:bCs/>
          <w:color w:val="000000"/>
          <w:spacing w:val="-3"/>
          <w:sz w:val="27"/>
          <w:szCs w:val="27"/>
          <w:shd w:val="clear" w:color="auto" w:fill="FFFFFF" w:themeFill="background1"/>
        </w:rPr>
        <w:t xml:space="preserve"> de Purificación, con matrícula inmobiliaria 368-29529</w:t>
      </w:r>
      <w:r w:rsidR="009D1D41" w:rsidRPr="00D06CB8">
        <w:rPr>
          <w:rFonts w:ascii="Bookman Old Style" w:hAnsi="Bookman Old Style"/>
          <w:bCs/>
          <w:color w:val="000000"/>
          <w:spacing w:val="-3"/>
          <w:sz w:val="27"/>
          <w:szCs w:val="27"/>
          <w:shd w:val="clear" w:color="auto" w:fill="FFFFFF" w:themeFill="background1"/>
        </w:rPr>
        <w:t xml:space="preserve"> y</w:t>
      </w:r>
      <w:r w:rsidRPr="00D06CB8">
        <w:rPr>
          <w:rFonts w:ascii="Bookman Old Style" w:hAnsi="Bookman Old Style"/>
          <w:bCs/>
          <w:color w:val="000000"/>
          <w:spacing w:val="-3"/>
          <w:sz w:val="27"/>
          <w:szCs w:val="27"/>
          <w:shd w:val="clear" w:color="auto" w:fill="FFFFFF" w:themeFill="background1"/>
        </w:rPr>
        <w:t xml:space="preserve"> con una extensión de 43 hectáreas. </w:t>
      </w:r>
    </w:p>
    <w:p w14:paraId="6372DCC2" w14:textId="77777777" w:rsidR="004A4FDB" w:rsidRPr="00D06CB8" w:rsidRDefault="004A4FDB" w:rsidP="0056217D">
      <w:pPr>
        <w:pStyle w:val="Textoindependiente"/>
        <w:spacing w:after="0" w:line="360" w:lineRule="auto"/>
        <w:ind w:firstLine="567"/>
        <w:jc w:val="both"/>
        <w:rPr>
          <w:rFonts w:ascii="Bookman Old Style" w:hAnsi="Bookman Old Style"/>
          <w:bCs/>
          <w:color w:val="000000"/>
          <w:spacing w:val="-3"/>
          <w:sz w:val="27"/>
          <w:szCs w:val="27"/>
          <w:shd w:val="clear" w:color="auto" w:fill="FFFFFF" w:themeFill="background1"/>
        </w:rPr>
      </w:pPr>
    </w:p>
    <w:p w14:paraId="562C6C94" w14:textId="490A397A" w:rsidR="00462EC0" w:rsidRPr="00D06CB8" w:rsidRDefault="00462EC0" w:rsidP="6F994DCF">
      <w:pPr>
        <w:pStyle w:val="Textoindependiente"/>
        <w:numPr>
          <w:ilvl w:val="0"/>
          <w:numId w:val="4"/>
        </w:numPr>
        <w:spacing w:after="0" w:line="360" w:lineRule="auto"/>
        <w:ind w:left="0" w:firstLine="567"/>
        <w:jc w:val="both"/>
        <w:rPr>
          <w:rFonts w:ascii="Bookman Old Style" w:hAnsi="Bookman Old Style"/>
          <w:color w:val="000000"/>
          <w:spacing w:val="-3"/>
          <w:sz w:val="27"/>
          <w:szCs w:val="27"/>
          <w:shd w:val="clear" w:color="auto" w:fill="FFFFFF" w:themeFill="background1"/>
          <w:lang w:val="es-ES"/>
        </w:rPr>
      </w:pPr>
      <w:r w:rsidRPr="00D06CB8">
        <w:rPr>
          <w:rFonts w:ascii="Bookman Old Style" w:hAnsi="Bookman Old Style"/>
          <w:color w:val="000000"/>
          <w:spacing w:val="-3"/>
          <w:sz w:val="27"/>
          <w:szCs w:val="27"/>
          <w:shd w:val="clear" w:color="auto" w:fill="FFFFFF" w:themeFill="background1"/>
          <w:lang w:val="es-ES"/>
        </w:rPr>
        <w:t xml:space="preserve">Montiel Morales advirtió que </w:t>
      </w:r>
      <w:r w:rsidR="005570C1" w:rsidRPr="00D06CB8">
        <w:rPr>
          <w:rFonts w:ascii="Bookman Old Style" w:hAnsi="Bookman Old Style"/>
          <w:smallCaps/>
          <w:color w:val="000000"/>
          <w:spacing w:val="-3"/>
          <w:sz w:val="27"/>
          <w:szCs w:val="27"/>
          <w:shd w:val="clear" w:color="auto" w:fill="FFFFFF" w:themeFill="background1"/>
          <w:lang w:val="es-ES"/>
        </w:rPr>
        <w:t>É</w:t>
      </w:r>
      <w:r w:rsidR="009D1D41" w:rsidRPr="00D06CB8">
        <w:rPr>
          <w:rFonts w:ascii="Bookman Old Style" w:hAnsi="Bookman Old Style"/>
          <w:smallCaps/>
          <w:color w:val="000000"/>
          <w:spacing w:val="-3"/>
          <w:sz w:val="27"/>
          <w:szCs w:val="27"/>
          <w:shd w:val="clear" w:color="auto" w:fill="FFFFFF" w:themeFill="background1"/>
          <w:lang w:val="es-ES"/>
        </w:rPr>
        <w:t xml:space="preserve">dgar Triana </w:t>
      </w:r>
      <w:r w:rsidR="00A539DB" w:rsidRPr="00D06CB8">
        <w:rPr>
          <w:rFonts w:ascii="Bookman Old Style" w:hAnsi="Bookman Old Style"/>
          <w:color w:val="000000"/>
          <w:spacing w:val="-3"/>
          <w:sz w:val="27"/>
          <w:szCs w:val="27"/>
          <w:shd w:val="clear" w:color="auto" w:fill="FFFFFF" w:themeFill="background1"/>
          <w:lang w:val="es-ES"/>
        </w:rPr>
        <w:t>usó</w:t>
      </w:r>
      <w:r w:rsidR="009D1D41" w:rsidRPr="00D06CB8">
        <w:rPr>
          <w:rFonts w:ascii="Bookman Old Style" w:hAnsi="Bookman Old Style"/>
          <w:color w:val="000000"/>
          <w:spacing w:val="-3"/>
          <w:sz w:val="27"/>
          <w:szCs w:val="27"/>
          <w:shd w:val="clear" w:color="auto" w:fill="FFFFFF" w:themeFill="background1"/>
          <w:lang w:val="es-ES"/>
        </w:rPr>
        <w:t xml:space="preserve"> irregularmente su predio desde junio de 2012, así como </w:t>
      </w:r>
      <w:r w:rsidRPr="00D06CB8">
        <w:rPr>
          <w:rFonts w:ascii="Bookman Old Style" w:hAnsi="Bookman Old Style"/>
          <w:smallCaps/>
          <w:color w:val="000000"/>
          <w:spacing w:val="-3"/>
          <w:sz w:val="27"/>
          <w:szCs w:val="27"/>
          <w:shd w:val="clear" w:color="auto" w:fill="FFFFFF" w:themeFill="background1"/>
          <w:lang w:val="es-ES"/>
        </w:rPr>
        <w:t>Luis Enrique Peña Camacho</w:t>
      </w:r>
      <w:r w:rsidRPr="00D06CB8">
        <w:rPr>
          <w:rFonts w:ascii="Bookman Old Style" w:hAnsi="Bookman Old Style"/>
          <w:color w:val="000000"/>
          <w:spacing w:val="-3"/>
          <w:sz w:val="27"/>
          <w:szCs w:val="27"/>
          <w:shd w:val="clear" w:color="auto" w:fill="FFFFFF" w:themeFill="background1"/>
          <w:lang w:val="es-ES"/>
        </w:rPr>
        <w:t xml:space="preserve"> y </w:t>
      </w:r>
      <w:r w:rsidRPr="00D06CB8">
        <w:rPr>
          <w:rFonts w:ascii="Bookman Old Style" w:hAnsi="Bookman Old Style"/>
          <w:smallCaps/>
          <w:color w:val="000000"/>
          <w:spacing w:val="-3"/>
          <w:sz w:val="27"/>
          <w:szCs w:val="27"/>
          <w:shd w:val="clear" w:color="auto" w:fill="FFFFFF" w:themeFill="background1"/>
          <w:lang w:val="es-ES"/>
        </w:rPr>
        <w:t>Armando Loaiza Céspedes</w:t>
      </w:r>
      <w:r w:rsidRPr="00D06CB8">
        <w:rPr>
          <w:rFonts w:ascii="Bookman Old Style" w:hAnsi="Bookman Old Style"/>
          <w:color w:val="000000"/>
          <w:spacing w:val="-3"/>
          <w:sz w:val="27"/>
          <w:szCs w:val="27"/>
          <w:shd w:val="clear" w:color="auto" w:fill="FFFFFF" w:themeFill="background1"/>
          <w:lang w:val="es-ES"/>
        </w:rPr>
        <w:t xml:space="preserve"> </w:t>
      </w:r>
      <w:r w:rsidR="009D1D41" w:rsidRPr="00D06CB8">
        <w:rPr>
          <w:rFonts w:ascii="Bookman Old Style" w:hAnsi="Bookman Old Style"/>
          <w:color w:val="000000"/>
          <w:spacing w:val="-3"/>
          <w:sz w:val="27"/>
          <w:szCs w:val="27"/>
          <w:shd w:val="clear" w:color="auto" w:fill="FFFFFF" w:themeFill="background1"/>
          <w:lang w:val="es-ES"/>
        </w:rPr>
        <w:t xml:space="preserve">desde </w:t>
      </w:r>
      <w:r w:rsidRPr="00D06CB8">
        <w:rPr>
          <w:rFonts w:ascii="Bookman Old Style" w:hAnsi="Bookman Old Style"/>
          <w:color w:val="000000"/>
          <w:spacing w:val="-3"/>
          <w:sz w:val="27"/>
          <w:szCs w:val="27"/>
          <w:shd w:val="clear" w:color="auto" w:fill="FFFFFF" w:themeFill="background1"/>
          <w:lang w:val="es-ES"/>
        </w:rPr>
        <w:t>el 1º de junio de 2013</w:t>
      </w:r>
      <w:r w:rsidR="009D1D41" w:rsidRPr="00D06CB8">
        <w:rPr>
          <w:rFonts w:ascii="Bookman Old Style" w:hAnsi="Bookman Old Style"/>
          <w:color w:val="000000"/>
          <w:spacing w:val="-3"/>
          <w:sz w:val="27"/>
          <w:szCs w:val="27"/>
          <w:shd w:val="clear" w:color="auto" w:fill="FFFFFF" w:themeFill="background1"/>
          <w:lang w:val="es-ES"/>
        </w:rPr>
        <w:t>. Esa</w:t>
      </w:r>
      <w:r w:rsidRPr="00D06CB8">
        <w:rPr>
          <w:rFonts w:ascii="Bookman Old Style" w:hAnsi="Bookman Old Style"/>
          <w:color w:val="000000"/>
          <w:spacing w:val="-3"/>
          <w:sz w:val="27"/>
          <w:szCs w:val="27"/>
          <w:shd w:val="clear" w:color="auto" w:fill="FFFFFF" w:themeFill="background1"/>
          <w:lang w:val="es-ES"/>
        </w:rPr>
        <w:t xml:space="preserve"> </w:t>
      </w:r>
      <w:r w:rsidR="00A539DB" w:rsidRPr="00D06CB8">
        <w:rPr>
          <w:rFonts w:ascii="Bookman Old Style" w:hAnsi="Bookman Old Style"/>
          <w:color w:val="000000"/>
          <w:spacing w:val="-3"/>
          <w:sz w:val="27"/>
          <w:szCs w:val="27"/>
          <w:shd w:val="clear" w:color="auto" w:fill="FFFFFF" w:themeFill="background1"/>
          <w:lang w:val="es-ES"/>
        </w:rPr>
        <w:t xml:space="preserve">posesión </w:t>
      </w:r>
      <w:r w:rsidRPr="00D06CB8">
        <w:rPr>
          <w:rFonts w:ascii="Bookman Old Style" w:hAnsi="Bookman Old Style"/>
          <w:color w:val="000000"/>
          <w:spacing w:val="-3"/>
          <w:sz w:val="27"/>
          <w:szCs w:val="27"/>
          <w:shd w:val="clear" w:color="auto" w:fill="FFFFFF" w:themeFill="background1"/>
          <w:lang w:val="es-ES"/>
        </w:rPr>
        <w:t>continuó hasta el 25 de abril de 2018 de la siguiente manera:</w:t>
      </w:r>
    </w:p>
    <w:p w14:paraId="0AA9315E" w14:textId="77777777" w:rsidR="00462EC0" w:rsidRPr="00D06CB8" w:rsidRDefault="00462EC0" w:rsidP="0056217D">
      <w:pPr>
        <w:pStyle w:val="Textoindependiente"/>
        <w:spacing w:after="0" w:line="360" w:lineRule="auto"/>
        <w:ind w:firstLine="567"/>
        <w:jc w:val="both"/>
        <w:rPr>
          <w:rFonts w:ascii="Bookman Old Style" w:hAnsi="Bookman Old Style"/>
          <w:bCs/>
          <w:color w:val="000000"/>
          <w:spacing w:val="-3"/>
          <w:sz w:val="27"/>
          <w:szCs w:val="27"/>
          <w:shd w:val="clear" w:color="auto" w:fill="FFFFFF" w:themeFill="background1"/>
        </w:rPr>
      </w:pPr>
    </w:p>
    <w:p w14:paraId="063198AE" w14:textId="7E29B885" w:rsidR="00462EC0" w:rsidRPr="00D06CB8" w:rsidRDefault="00462EC0" w:rsidP="0056217D">
      <w:pPr>
        <w:pStyle w:val="Textoindependiente"/>
        <w:numPr>
          <w:ilvl w:val="0"/>
          <w:numId w:val="5"/>
        </w:numPr>
        <w:spacing w:after="0" w:line="360" w:lineRule="auto"/>
        <w:ind w:left="0" w:firstLine="567"/>
        <w:jc w:val="both"/>
        <w:rPr>
          <w:rFonts w:ascii="Bookman Old Style" w:hAnsi="Bookman Old Style"/>
          <w:bCs/>
          <w:color w:val="000000"/>
          <w:spacing w:val="-3"/>
          <w:sz w:val="27"/>
          <w:szCs w:val="27"/>
          <w:shd w:val="clear" w:color="auto" w:fill="FFFFFF" w:themeFill="background1"/>
        </w:rPr>
      </w:pPr>
      <w:r w:rsidRPr="00D06CB8">
        <w:rPr>
          <w:rFonts w:ascii="Bookman Old Style" w:hAnsi="Bookman Old Style"/>
          <w:bCs/>
          <w:smallCaps/>
          <w:color w:val="000000"/>
          <w:spacing w:val="-3"/>
          <w:sz w:val="27"/>
          <w:szCs w:val="27"/>
          <w:shd w:val="clear" w:color="auto" w:fill="FFFFFF" w:themeFill="background1"/>
        </w:rPr>
        <w:t>Luis Enrique Peña Camacho</w:t>
      </w:r>
      <w:r w:rsidRPr="00D06CB8">
        <w:rPr>
          <w:rFonts w:ascii="Bookman Old Style" w:hAnsi="Bookman Old Style"/>
          <w:bCs/>
          <w:color w:val="000000"/>
          <w:spacing w:val="-3"/>
          <w:sz w:val="27"/>
          <w:szCs w:val="27"/>
          <w:shd w:val="clear" w:color="auto" w:fill="FFFFFF" w:themeFill="background1"/>
        </w:rPr>
        <w:t xml:space="preserve"> ocupó parte de </w:t>
      </w:r>
      <w:r w:rsidR="009D1D41" w:rsidRPr="00D06CB8">
        <w:rPr>
          <w:rFonts w:ascii="Bookman Old Style" w:hAnsi="Bookman Old Style"/>
          <w:bCs/>
          <w:color w:val="000000"/>
          <w:spacing w:val="-3"/>
          <w:sz w:val="27"/>
          <w:szCs w:val="27"/>
          <w:shd w:val="clear" w:color="auto" w:fill="FFFFFF" w:themeFill="background1"/>
        </w:rPr>
        <w:t>“Las Mercedes”</w:t>
      </w:r>
      <w:r w:rsidRPr="00D06CB8">
        <w:rPr>
          <w:rFonts w:ascii="Bookman Old Style" w:hAnsi="Bookman Old Style"/>
          <w:bCs/>
          <w:color w:val="000000"/>
          <w:spacing w:val="-3"/>
          <w:sz w:val="27"/>
          <w:szCs w:val="27"/>
          <w:shd w:val="clear" w:color="auto" w:fill="FFFFFF" w:themeFill="background1"/>
        </w:rPr>
        <w:t xml:space="preserve"> con siembra de colinos de plátano y levantamiento de cercas. Después de finalizar en mayo de 2013 un contrato de arrendamiento por dos cosechas, permaneció en el terreno. Para noviembre de 2015, la </w:t>
      </w:r>
      <w:r w:rsidR="00A539DB" w:rsidRPr="00D06CB8">
        <w:rPr>
          <w:rFonts w:ascii="Bookman Old Style" w:hAnsi="Bookman Old Style"/>
          <w:bCs/>
          <w:color w:val="000000"/>
          <w:spacing w:val="-3"/>
          <w:sz w:val="27"/>
          <w:szCs w:val="27"/>
          <w:shd w:val="clear" w:color="auto" w:fill="FFFFFF" w:themeFill="background1"/>
        </w:rPr>
        <w:t xml:space="preserve">invasión </w:t>
      </w:r>
      <w:r w:rsidRPr="00D06CB8">
        <w:rPr>
          <w:rFonts w:ascii="Bookman Old Style" w:hAnsi="Bookman Old Style"/>
          <w:bCs/>
          <w:color w:val="000000"/>
          <w:spacing w:val="-3"/>
          <w:sz w:val="27"/>
          <w:szCs w:val="27"/>
          <w:shd w:val="clear" w:color="auto" w:fill="FFFFFF" w:themeFill="background1"/>
        </w:rPr>
        <w:t>comprendía aproximadamente dos hectáreas con</w:t>
      </w:r>
      <w:r w:rsidR="00F25BB8" w:rsidRPr="00D06CB8">
        <w:rPr>
          <w:rFonts w:ascii="Bookman Old Style" w:hAnsi="Bookman Old Style"/>
          <w:bCs/>
          <w:color w:val="000000"/>
          <w:spacing w:val="-3"/>
          <w:sz w:val="27"/>
          <w:szCs w:val="27"/>
          <w:shd w:val="clear" w:color="auto" w:fill="FFFFFF" w:themeFill="background1"/>
        </w:rPr>
        <w:t xml:space="preserve"> siembra de</w:t>
      </w:r>
      <w:r w:rsidRPr="00D06CB8">
        <w:rPr>
          <w:rFonts w:ascii="Bookman Old Style" w:hAnsi="Bookman Old Style"/>
          <w:bCs/>
          <w:color w:val="000000"/>
          <w:spacing w:val="-3"/>
          <w:sz w:val="27"/>
          <w:szCs w:val="27"/>
          <w:shd w:val="clear" w:color="auto" w:fill="FFFFFF" w:themeFill="background1"/>
        </w:rPr>
        <w:t xml:space="preserve"> caña de azúcar, plátano, cría y engorde de equinos y vacunos, además de un nacedero ubicado dentro del predio. </w:t>
      </w:r>
    </w:p>
    <w:p w14:paraId="19739283" w14:textId="77777777" w:rsidR="00462EC0" w:rsidRPr="00D06CB8" w:rsidRDefault="00462EC0" w:rsidP="0056217D">
      <w:pPr>
        <w:pStyle w:val="Textoindependiente"/>
        <w:spacing w:after="0" w:line="360" w:lineRule="auto"/>
        <w:ind w:firstLine="567"/>
        <w:jc w:val="both"/>
        <w:rPr>
          <w:rFonts w:ascii="Bookman Old Style" w:hAnsi="Bookman Old Style"/>
          <w:bCs/>
          <w:color w:val="000000"/>
          <w:spacing w:val="-3"/>
          <w:sz w:val="27"/>
          <w:szCs w:val="27"/>
          <w:shd w:val="clear" w:color="auto" w:fill="FFFFFF" w:themeFill="background1"/>
        </w:rPr>
      </w:pPr>
    </w:p>
    <w:p w14:paraId="0CED4EB2" w14:textId="52F3E368" w:rsidR="00462EC0" w:rsidRPr="00D06CB8" w:rsidRDefault="00462EC0" w:rsidP="6F994DCF">
      <w:pPr>
        <w:pStyle w:val="Textoindependiente"/>
        <w:numPr>
          <w:ilvl w:val="0"/>
          <w:numId w:val="5"/>
        </w:numPr>
        <w:spacing w:after="0" w:line="360" w:lineRule="auto"/>
        <w:ind w:left="0" w:firstLine="567"/>
        <w:jc w:val="both"/>
        <w:rPr>
          <w:rFonts w:ascii="Bookman Old Style" w:hAnsi="Bookman Old Style"/>
          <w:color w:val="000000"/>
          <w:spacing w:val="-3"/>
          <w:sz w:val="27"/>
          <w:szCs w:val="27"/>
          <w:shd w:val="clear" w:color="auto" w:fill="FFFFFF" w:themeFill="background1"/>
          <w:lang w:val="es-ES"/>
        </w:rPr>
      </w:pPr>
      <w:r w:rsidRPr="00D06CB8">
        <w:rPr>
          <w:rFonts w:ascii="Bookman Old Style" w:hAnsi="Bookman Old Style"/>
          <w:smallCaps/>
          <w:color w:val="000000"/>
          <w:spacing w:val="-3"/>
          <w:sz w:val="27"/>
          <w:szCs w:val="27"/>
          <w:shd w:val="clear" w:color="auto" w:fill="FFFFFF" w:themeFill="background1"/>
          <w:lang w:val="es-ES"/>
        </w:rPr>
        <w:t xml:space="preserve">Armando Loaiza Céspedes </w:t>
      </w:r>
      <w:r w:rsidRPr="00D06CB8">
        <w:rPr>
          <w:rFonts w:ascii="Bookman Old Style" w:hAnsi="Bookman Old Style"/>
          <w:color w:val="000000"/>
          <w:spacing w:val="-3"/>
          <w:sz w:val="27"/>
          <w:szCs w:val="27"/>
          <w:shd w:val="clear" w:color="auto" w:fill="FFFFFF" w:themeFill="background1"/>
          <w:lang w:val="es-ES"/>
        </w:rPr>
        <w:t>invadió sectores del inmueble</w:t>
      </w:r>
      <w:r w:rsidR="009D1D41" w:rsidRPr="00D06CB8">
        <w:rPr>
          <w:rFonts w:ascii="Bookman Old Style" w:hAnsi="Bookman Old Style"/>
          <w:color w:val="000000"/>
          <w:spacing w:val="-3"/>
          <w:sz w:val="27"/>
          <w:szCs w:val="27"/>
          <w:shd w:val="clear" w:color="auto" w:fill="FFFFFF" w:themeFill="background1"/>
          <w:lang w:val="es-ES"/>
        </w:rPr>
        <w:t xml:space="preserve">, allí cultivó </w:t>
      </w:r>
      <w:r w:rsidRPr="00D06CB8">
        <w:rPr>
          <w:rFonts w:ascii="Bookman Old Style" w:hAnsi="Bookman Old Style"/>
          <w:color w:val="000000"/>
          <w:spacing w:val="-3"/>
          <w:sz w:val="27"/>
          <w:szCs w:val="27"/>
          <w:shd w:val="clear" w:color="auto" w:fill="FFFFFF" w:themeFill="background1"/>
          <w:lang w:val="es-ES"/>
        </w:rPr>
        <w:t>maíz y ahuyama. Cerró</w:t>
      </w:r>
      <w:r w:rsidR="00AF1DD7" w:rsidRPr="00D06CB8">
        <w:rPr>
          <w:rFonts w:ascii="Bookman Old Style" w:hAnsi="Bookman Old Style"/>
          <w:color w:val="000000"/>
          <w:spacing w:val="-3"/>
          <w:sz w:val="27"/>
          <w:szCs w:val="27"/>
          <w:shd w:val="clear" w:color="auto" w:fill="FFFFFF" w:themeFill="background1"/>
          <w:lang w:val="es-ES"/>
        </w:rPr>
        <w:t xml:space="preserve"> los</w:t>
      </w:r>
      <w:r w:rsidRPr="00D06CB8">
        <w:rPr>
          <w:rFonts w:ascii="Bookman Old Style" w:hAnsi="Bookman Old Style"/>
          <w:color w:val="000000"/>
          <w:spacing w:val="-3"/>
          <w:sz w:val="27"/>
          <w:szCs w:val="27"/>
          <w:shd w:val="clear" w:color="auto" w:fill="FFFFFF" w:themeFill="background1"/>
          <w:lang w:val="es-ES"/>
        </w:rPr>
        <w:t xml:space="preserve"> lotes con alambre y postes de madera. También adelantó labores de guadaña y quema para mantener y ampliar el aprovechamiento de esas áreas. </w:t>
      </w:r>
    </w:p>
    <w:p w14:paraId="06F0AF7A" w14:textId="77777777" w:rsidR="00462EC0" w:rsidRPr="00D06CB8" w:rsidRDefault="00462EC0" w:rsidP="0056217D">
      <w:pPr>
        <w:pStyle w:val="Prrafodelista"/>
        <w:spacing w:after="0" w:line="360" w:lineRule="auto"/>
        <w:ind w:left="0" w:firstLine="567"/>
        <w:rPr>
          <w:rFonts w:ascii="Bookman Old Style" w:hAnsi="Bookman Old Style"/>
          <w:bCs/>
          <w:color w:val="000000"/>
          <w:spacing w:val="-3"/>
          <w:sz w:val="27"/>
          <w:szCs w:val="27"/>
          <w:shd w:val="clear" w:color="auto" w:fill="FFFFFF" w:themeFill="background1"/>
        </w:rPr>
      </w:pPr>
    </w:p>
    <w:p w14:paraId="2C94A1BA" w14:textId="31909C4B" w:rsidR="00462EC0" w:rsidRPr="00D06CB8" w:rsidRDefault="005570C1" w:rsidP="0056217D">
      <w:pPr>
        <w:pStyle w:val="Textoindependiente"/>
        <w:numPr>
          <w:ilvl w:val="0"/>
          <w:numId w:val="5"/>
        </w:numPr>
        <w:spacing w:after="0" w:line="360" w:lineRule="auto"/>
        <w:ind w:left="0" w:firstLine="567"/>
        <w:jc w:val="both"/>
        <w:rPr>
          <w:rFonts w:ascii="Bookman Old Style" w:hAnsi="Bookman Old Style"/>
          <w:bCs/>
          <w:color w:val="000000"/>
          <w:spacing w:val="-3"/>
          <w:sz w:val="27"/>
          <w:szCs w:val="27"/>
          <w:shd w:val="clear" w:color="auto" w:fill="FFFFFF" w:themeFill="background1"/>
        </w:rPr>
      </w:pPr>
      <w:r w:rsidRPr="00D06CB8">
        <w:rPr>
          <w:rFonts w:ascii="Bookman Old Style" w:hAnsi="Bookman Old Style"/>
          <w:bCs/>
          <w:smallCaps/>
          <w:color w:val="000000"/>
          <w:spacing w:val="-3"/>
          <w:sz w:val="27"/>
          <w:szCs w:val="27"/>
          <w:shd w:val="clear" w:color="auto" w:fill="FFFFFF" w:themeFill="background1"/>
        </w:rPr>
        <w:t>É</w:t>
      </w:r>
      <w:r w:rsidR="00462EC0" w:rsidRPr="00D06CB8">
        <w:rPr>
          <w:rFonts w:ascii="Bookman Old Style" w:hAnsi="Bookman Old Style"/>
          <w:bCs/>
          <w:smallCaps/>
          <w:color w:val="000000"/>
          <w:spacing w:val="-3"/>
          <w:sz w:val="27"/>
          <w:szCs w:val="27"/>
          <w:shd w:val="clear" w:color="auto" w:fill="FFFFFF" w:themeFill="background1"/>
        </w:rPr>
        <w:t xml:space="preserve">dgar Triana </w:t>
      </w:r>
      <w:r w:rsidR="00462EC0" w:rsidRPr="00D06CB8">
        <w:rPr>
          <w:rFonts w:ascii="Bookman Old Style" w:hAnsi="Bookman Old Style"/>
          <w:bCs/>
          <w:color w:val="000000"/>
          <w:spacing w:val="-3"/>
          <w:sz w:val="27"/>
          <w:szCs w:val="27"/>
          <w:shd w:val="clear" w:color="auto" w:fill="FFFFFF" w:themeFill="background1"/>
        </w:rPr>
        <w:t>construyó un encierro con alambre de púas y postes de madera dentro de</w:t>
      </w:r>
      <w:r w:rsidR="009D1D41" w:rsidRPr="00D06CB8">
        <w:rPr>
          <w:rFonts w:ascii="Bookman Old Style" w:hAnsi="Bookman Old Style"/>
          <w:bCs/>
          <w:color w:val="000000"/>
          <w:spacing w:val="-3"/>
          <w:sz w:val="27"/>
          <w:szCs w:val="27"/>
          <w:shd w:val="clear" w:color="auto" w:fill="FFFFFF" w:themeFill="background1"/>
        </w:rPr>
        <w:t xml:space="preserve">l predio </w:t>
      </w:r>
      <w:r w:rsidR="00462EC0" w:rsidRPr="00D06CB8">
        <w:rPr>
          <w:rFonts w:ascii="Bookman Old Style" w:hAnsi="Bookman Old Style"/>
          <w:bCs/>
          <w:color w:val="000000"/>
          <w:spacing w:val="-3"/>
          <w:sz w:val="27"/>
          <w:szCs w:val="27"/>
          <w:shd w:val="clear" w:color="auto" w:fill="FFFFFF" w:themeFill="background1"/>
        </w:rPr>
        <w:t xml:space="preserve">y mantuvo allí ganado y caballos. </w:t>
      </w:r>
    </w:p>
    <w:p w14:paraId="724D2606" w14:textId="77777777" w:rsidR="004A4FDB" w:rsidRPr="00D06CB8" w:rsidRDefault="004A4FDB" w:rsidP="0056217D">
      <w:pPr>
        <w:pStyle w:val="Textoindependiente"/>
        <w:spacing w:after="0" w:line="360" w:lineRule="auto"/>
        <w:ind w:firstLine="567"/>
        <w:jc w:val="both"/>
        <w:rPr>
          <w:rFonts w:ascii="Bookman Old Style" w:hAnsi="Bookman Old Style"/>
          <w:bCs/>
          <w:color w:val="000000"/>
          <w:spacing w:val="-3"/>
          <w:sz w:val="27"/>
          <w:szCs w:val="27"/>
          <w:shd w:val="clear" w:color="auto" w:fill="FFFFFF" w:themeFill="background1"/>
        </w:rPr>
      </w:pPr>
    </w:p>
    <w:p w14:paraId="1CC681EA" w14:textId="6E3FC07B" w:rsidR="004A4FDB" w:rsidRPr="00D06CB8" w:rsidRDefault="004A4FDB" w:rsidP="6F994DCF">
      <w:pPr>
        <w:pStyle w:val="Textoindependiente"/>
        <w:numPr>
          <w:ilvl w:val="0"/>
          <w:numId w:val="4"/>
        </w:numPr>
        <w:spacing w:after="0" w:line="360" w:lineRule="auto"/>
        <w:ind w:left="0" w:firstLine="567"/>
        <w:jc w:val="both"/>
        <w:rPr>
          <w:rFonts w:ascii="Bookman Old Style" w:hAnsi="Bookman Old Style"/>
          <w:color w:val="000000"/>
          <w:spacing w:val="-3"/>
          <w:sz w:val="27"/>
          <w:szCs w:val="27"/>
          <w:shd w:val="clear" w:color="auto" w:fill="FFFFFF" w:themeFill="background1"/>
        </w:rPr>
      </w:pPr>
      <w:r w:rsidRPr="00D06CB8">
        <w:rPr>
          <w:rFonts w:ascii="Bookman Old Style" w:hAnsi="Bookman Old Style"/>
          <w:color w:val="000000"/>
          <w:spacing w:val="-3"/>
          <w:sz w:val="27"/>
          <w:szCs w:val="27"/>
          <w:shd w:val="clear" w:color="auto" w:fill="FFFFFF" w:themeFill="background1"/>
        </w:rPr>
        <w:t xml:space="preserve">Los tres acusados afirmaron que los terrenos que ocupaban no </w:t>
      </w:r>
      <w:r w:rsidR="11FD70DD" w:rsidRPr="00D06CB8">
        <w:rPr>
          <w:rFonts w:ascii="Bookman Old Style" w:hAnsi="Bookman Old Style"/>
          <w:color w:val="000000"/>
          <w:spacing w:val="-3"/>
          <w:sz w:val="27"/>
          <w:szCs w:val="27"/>
          <w:shd w:val="clear" w:color="auto" w:fill="FFFFFF" w:themeFill="background1"/>
        </w:rPr>
        <w:t xml:space="preserve">formaban </w:t>
      </w:r>
      <w:r w:rsidRPr="00D06CB8">
        <w:rPr>
          <w:rFonts w:ascii="Bookman Old Style" w:hAnsi="Bookman Old Style"/>
          <w:color w:val="000000"/>
          <w:spacing w:val="-3"/>
          <w:sz w:val="27"/>
          <w:szCs w:val="27"/>
          <w:shd w:val="clear" w:color="auto" w:fill="FFFFFF" w:themeFill="background1"/>
        </w:rPr>
        <w:t xml:space="preserve">parte del predio </w:t>
      </w:r>
      <w:r w:rsidR="009D1D41" w:rsidRPr="00D06CB8">
        <w:rPr>
          <w:rFonts w:ascii="Bookman Old Style" w:hAnsi="Bookman Old Style"/>
          <w:color w:val="000000"/>
          <w:spacing w:val="-3"/>
          <w:sz w:val="27"/>
          <w:szCs w:val="27"/>
          <w:shd w:val="clear" w:color="auto" w:fill="FFFFFF" w:themeFill="background1"/>
        </w:rPr>
        <w:t>“Las Mercedes”</w:t>
      </w:r>
      <w:r w:rsidRPr="00D06CB8">
        <w:rPr>
          <w:rFonts w:ascii="Bookman Old Style" w:hAnsi="Bookman Old Style"/>
          <w:color w:val="000000"/>
          <w:spacing w:val="-3"/>
          <w:sz w:val="27"/>
          <w:szCs w:val="27"/>
          <w:shd w:val="clear" w:color="auto" w:fill="FFFFFF" w:themeFill="background1"/>
        </w:rPr>
        <w:t xml:space="preserve"> sino que </w:t>
      </w:r>
      <w:r w:rsidRPr="00D06CB8">
        <w:rPr>
          <w:rFonts w:ascii="Bookman Old Style" w:hAnsi="Bookman Old Style"/>
          <w:color w:val="000000"/>
          <w:spacing w:val="-3"/>
          <w:sz w:val="27"/>
          <w:szCs w:val="27"/>
          <w:shd w:val="clear" w:color="auto" w:fill="FFFFFF" w:themeFill="background1"/>
        </w:rPr>
        <w:lastRenderedPageBreak/>
        <w:t>pertenecían a la Empresa de Energía del Pacífico S.A. E.S.P. (EPSA), por encontrarse por debajo de la cota</w:t>
      </w:r>
      <w:r w:rsidR="00950CD3" w:rsidRPr="00D06CB8">
        <w:rPr>
          <w:rStyle w:val="Refdenotaalpie"/>
          <w:rFonts w:ascii="Bookman Old Style" w:hAnsi="Bookman Old Style"/>
          <w:color w:val="000000"/>
          <w:spacing w:val="-3"/>
          <w:sz w:val="27"/>
          <w:szCs w:val="27"/>
          <w:shd w:val="clear" w:color="auto" w:fill="FFFFFF" w:themeFill="background1"/>
        </w:rPr>
        <w:footnoteReference w:id="1"/>
      </w:r>
      <w:r w:rsidRPr="00D06CB8">
        <w:rPr>
          <w:rFonts w:ascii="Bookman Old Style" w:hAnsi="Bookman Old Style"/>
          <w:color w:val="000000"/>
          <w:spacing w:val="-3"/>
          <w:sz w:val="27"/>
          <w:szCs w:val="27"/>
          <w:shd w:val="clear" w:color="auto" w:fill="FFFFFF" w:themeFill="background1"/>
        </w:rPr>
        <w:t xml:space="preserve"> 367. Con base en esa posición, negaron haber invadido el inmueble de Martha Lucía Montiel Morales y controvirtieron que los títulos de propiedad que ella invocó comprendieran las áreas ocupadas.</w:t>
      </w:r>
    </w:p>
    <w:p w14:paraId="0EF81AAC" w14:textId="77777777" w:rsidR="004A4FDB" w:rsidRPr="00D06CB8" w:rsidRDefault="004A4FDB" w:rsidP="0056217D">
      <w:pPr>
        <w:pStyle w:val="Textoindependiente"/>
        <w:spacing w:after="0" w:line="360" w:lineRule="auto"/>
        <w:ind w:firstLine="567"/>
        <w:jc w:val="both"/>
        <w:rPr>
          <w:rFonts w:ascii="Bookman Old Style" w:hAnsi="Bookman Old Style"/>
          <w:bCs/>
          <w:color w:val="000000"/>
          <w:spacing w:val="-3"/>
          <w:sz w:val="27"/>
          <w:szCs w:val="27"/>
          <w:shd w:val="clear" w:color="auto" w:fill="FFFFFF" w:themeFill="background1"/>
        </w:rPr>
      </w:pPr>
    </w:p>
    <w:bookmarkEnd w:id="0"/>
    <w:p w14:paraId="31A84F69" w14:textId="77777777" w:rsidR="00E81F14" w:rsidRPr="00D06CB8" w:rsidRDefault="009236CA" w:rsidP="0056217D">
      <w:pPr>
        <w:pStyle w:val="Textoindependiente"/>
        <w:numPr>
          <w:ilvl w:val="0"/>
          <w:numId w:val="1"/>
        </w:numPr>
        <w:spacing w:after="0" w:line="360" w:lineRule="auto"/>
        <w:ind w:left="0" w:firstLine="567"/>
        <w:jc w:val="center"/>
        <w:rPr>
          <w:rFonts w:ascii="Bookman Old Style" w:hAnsi="Bookman Old Style"/>
          <w:color w:val="000000"/>
          <w:spacing w:val="-3"/>
          <w:sz w:val="27"/>
          <w:szCs w:val="27"/>
        </w:rPr>
      </w:pPr>
      <w:r w:rsidRPr="00D06CB8">
        <w:rPr>
          <w:rFonts w:ascii="Bookman Old Style" w:hAnsi="Bookman Old Style"/>
          <w:b/>
          <w:color w:val="000000"/>
          <w:sz w:val="27"/>
          <w:szCs w:val="27"/>
        </w:rPr>
        <w:t>SÍNTESIS DE LA ACTUACIÓN PROCESAL</w:t>
      </w:r>
    </w:p>
    <w:p w14:paraId="74A131C7" w14:textId="77777777" w:rsidR="003E727A" w:rsidRPr="00D06CB8" w:rsidRDefault="003E727A" w:rsidP="0056217D">
      <w:pPr>
        <w:pStyle w:val="Textoindependiente"/>
        <w:spacing w:after="0" w:line="360" w:lineRule="auto"/>
        <w:ind w:firstLine="567"/>
        <w:jc w:val="both"/>
        <w:rPr>
          <w:rFonts w:ascii="Bookman Old Style" w:hAnsi="Bookman Old Style"/>
          <w:color w:val="000000"/>
          <w:spacing w:val="-3"/>
          <w:sz w:val="27"/>
          <w:szCs w:val="27"/>
        </w:rPr>
      </w:pPr>
    </w:p>
    <w:p w14:paraId="2C41D4C9" w14:textId="5CEB0D64" w:rsidR="003E727A" w:rsidRPr="00D06CB8" w:rsidRDefault="2DFD9F6B" w:rsidP="6F994DCF">
      <w:pPr>
        <w:pStyle w:val="Textoindependiente"/>
        <w:numPr>
          <w:ilvl w:val="0"/>
          <w:numId w:val="6"/>
        </w:numPr>
        <w:spacing w:after="0" w:line="360" w:lineRule="auto"/>
        <w:ind w:left="0" w:firstLine="567"/>
        <w:jc w:val="both"/>
        <w:rPr>
          <w:rFonts w:ascii="Bookman Old Style" w:hAnsi="Bookman Old Style"/>
          <w:color w:val="000000"/>
          <w:spacing w:val="-3"/>
          <w:sz w:val="27"/>
          <w:szCs w:val="27"/>
          <w:lang w:val="es-ES"/>
        </w:rPr>
      </w:pPr>
      <w:r w:rsidRPr="00D06CB8">
        <w:rPr>
          <w:rFonts w:ascii="Bookman Old Style" w:hAnsi="Bookman Old Style"/>
          <w:color w:val="000000"/>
          <w:spacing w:val="-3"/>
          <w:sz w:val="27"/>
          <w:szCs w:val="27"/>
          <w:lang w:val="es-ES"/>
        </w:rPr>
        <w:t>El 25 de abril de 2018, l</w:t>
      </w:r>
      <w:r w:rsidR="003E727A" w:rsidRPr="00D06CB8">
        <w:rPr>
          <w:rFonts w:ascii="Bookman Old Style" w:hAnsi="Bookman Old Style"/>
          <w:color w:val="000000"/>
          <w:spacing w:val="-3"/>
          <w:sz w:val="27"/>
          <w:szCs w:val="27"/>
          <w:lang w:val="es-ES"/>
        </w:rPr>
        <w:t xml:space="preserve">a Fiscalía 68 Local, con el procedimiento previsto en la Ley 1826 de 2017, corrió traslado del escrito de acusación contra </w:t>
      </w:r>
      <w:r w:rsidR="003E727A" w:rsidRPr="00D06CB8">
        <w:rPr>
          <w:rFonts w:ascii="Bookman Old Style" w:hAnsi="Bookman Old Style"/>
          <w:smallCaps/>
          <w:color w:val="000000"/>
          <w:spacing w:val="-3"/>
          <w:sz w:val="27"/>
          <w:szCs w:val="27"/>
          <w:lang w:val="es-ES"/>
        </w:rPr>
        <w:t>Armando Loaiza Céspedes, Luis Enrique Peña Camacho</w:t>
      </w:r>
      <w:r w:rsidR="003E727A" w:rsidRPr="00D06CB8">
        <w:rPr>
          <w:rFonts w:ascii="Bookman Old Style" w:hAnsi="Bookman Old Style"/>
          <w:color w:val="000000"/>
          <w:spacing w:val="-3"/>
          <w:sz w:val="27"/>
          <w:szCs w:val="27"/>
          <w:lang w:val="es-ES"/>
        </w:rPr>
        <w:t xml:space="preserve"> y </w:t>
      </w:r>
      <w:r w:rsidR="00520EBC" w:rsidRPr="00D06CB8">
        <w:rPr>
          <w:rFonts w:ascii="Bookman Old Style" w:hAnsi="Bookman Old Style"/>
          <w:smallCaps/>
          <w:color w:val="000000"/>
          <w:spacing w:val="-3"/>
          <w:sz w:val="27"/>
          <w:szCs w:val="27"/>
          <w:lang w:val="es-ES"/>
        </w:rPr>
        <w:t>É</w:t>
      </w:r>
      <w:r w:rsidR="003E727A" w:rsidRPr="00D06CB8">
        <w:rPr>
          <w:rFonts w:ascii="Bookman Old Style" w:hAnsi="Bookman Old Style"/>
          <w:smallCaps/>
          <w:color w:val="000000"/>
          <w:spacing w:val="-3"/>
          <w:sz w:val="27"/>
          <w:szCs w:val="27"/>
          <w:lang w:val="es-ES"/>
        </w:rPr>
        <w:t>dgar Triana</w:t>
      </w:r>
      <w:r w:rsidR="003E727A" w:rsidRPr="00D06CB8">
        <w:rPr>
          <w:rFonts w:ascii="Bookman Old Style" w:hAnsi="Bookman Old Style"/>
          <w:color w:val="000000"/>
          <w:spacing w:val="-3"/>
          <w:sz w:val="27"/>
          <w:szCs w:val="27"/>
          <w:lang w:val="es-ES"/>
        </w:rPr>
        <w:t xml:space="preserve"> por el delito de invasión de tierras o edificaciones, previsto en el artículo 263, </w:t>
      </w:r>
      <w:r w:rsidR="00572E08" w:rsidRPr="00D06CB8">
        <w:rPr>
          <w:rFonts w:ascii="Bookman Old Style" w:hAnsi="Bookman Old Style"/>
          <w:color w:val="000000"/>
          <w:spacing w:val="-3"/>
          <w:sz w:val="27"/>
          <w:szCs w:val="27"/>
          <w:lang w:val="es-ES"/>
        </w:rPr>
        <w:t xml:space="preserve">agravado por el </w:t>
      </w:r>
      <w:r w:rsidR="003E727A" w:rsidRPr="00D06CB8">
        <w:rPr>
          <w:rFonts w:ascii="Bookman Old Style" w:hAnsi="Bookman Old Style"/>
          <w:color w:val="000000"/>
          <w:spacing w:val="-3"/>
          <w:sz w:val="27"/>
          <w:szCs w:val="27"/>
          <w:lang w:val="es-ES"/>
        </w:rPr>
        <w:t>inciso 3</w:t>
      </w:r>
      <w:r w:rsidR="00E675E5" w:rsidRPr="00D06CB8">
        <w:rPr>
          <w:rFonts w:ascii="Bookman Old Style" w:hAnsi="Bookman Old Style"/>
          <w:color w:val="000000"/>
          <w:spacing w:val="-3"/>
          <w:sz w:val="27"/>
          <w:szCs w:val="27"/>
          <w:lang w:val="es-ES"/>
        </w:rPr>
        <w:t>º</w:t>
      </w:r>
      <w:r w:rsidR="003E727A" w:rsidRPr="00D06CB8">
        <w:rPr>
          <w:rFonts w:ascii="Bookman Old Style" w:hAnsi="Bookman Old Style"/>
          <w:color w:val="000000"/>
          <w:spacing w:val="-3"/>
          <w:sz w:val="27"/>
          <w:szCs w:val="27"/>
          <w:lang w:val="es-ES"/>
        </w:rPr>
        <w:t xml:space="preserve"> Cp</w:t>
      </w:r>
      <w:r w:rsidR="005570C1" w:rsidRPr="00D06CB8">
        <w:rPr>
          <w:rFonts w:ascii="Bookman Old Style" w:hAnsi="Bookman Old Style"/>
          <w:color w:val="000000"/>
          <w:spacing w:val="-3"/>
          <w:sz w:val="27"/>
          <w:szCs w:val="27"/>
          <w:lang w:val="es-ES"/>
        </w:rPr>
        <w:t>, modificado por el artículo 23 de la Ley 1453 de 2011</w:t>
      </w:r>
      <w:r w:rsidR="003E727A" w:rsidRPr="00D06CB8">
        <w:rPr>
          <w:rFonts w:ascii="Bookman Old Style" w:hAnsi="Bookman Old Style"/>
          <w:color w:val="000000"/>
          <w:spacing w:val="-3"/>
          <w:sz w:val="27"/>
          <w:szCs w:val="27"/>
          <w:lang w:val="es-ES"/>
        </w:rPr>
        <w:t xml:space="preserve">. Los acusados no aceptaron los cargos. </w:t>
      </w:r>
    </w:p>
    <w:p w14:paraId="4A61B290" w14:textId="77777777" w:rsidR="003E727A" w:rsidRPr="00D06CB8" w:rsidRDefault="003E727A" w:rsidP="0056217D">
      <w:pPr>
        <w:pStyle w:val="Textoindependiente"/>
        <w:spacing w:after="0" w:line="360" w:lineRule="auto"/>
        <w:ind w:firstLine="567"/>
        <w:jc w:val="both"/>
        <w:rPr>
          <w:rFonts w:ascii="Bookman Old Style" w:hAnsi="Bookman Old Style"/>
          <w:color w:val="000000"/>
          <w:spacing w:val="-3"/>
          <w:sz w:val="27"/>
          <w:szCs w:val="27"/>
        </w:rPr>
      </w:pPr>
    </w:p>
    <w:p w14:paraId="210C275D" w14:textId="17771D8A" w:rsidR="003E727A" w:rsidRPr="00D06CB8" w:rsidRDefault="003E727A" w:rsidP="0056217D">
      <w:pPr>
        <w:pStyle w:val="Textoindependiente"/>
        <w:numPr>
          <w:ilvl w:val="0"/>
          <w:numId w:val="6"/>
        </w:numPr>
        <w:spacing w:after="0" w:line="360" w:lineRule="auto"/>
        <w:ind w:left="0" w:firstLine="567"/>
        <w:jc w:val="both"/>
        <w:rPr>
          <w:rFonts w:ascii="Bookman Old Style" w:hAnsi="Bookman Old Style"/>
          <w:color w:val="000000"/>
          <w:spacing w:val="-3"/>
          <w:sz w:val="27"/>
          <w:szCs w:val="27"/>
        </w:rPr>
      </w:pPr>
      <w:r w:rsidRPr="00D06CB8">
        <w:rPr>
          <w:rFonts w:ascii="Bookman Old Style" w:hAnsi="Bookman Old Style"/>
          <w:color w:val="000000"/>
          <w:spacing w:val="-3"/>
          <w:sz w:val="27"/>
          <w:szCs w:val="27"/>
        </w:rPr>
        <w:t>Por competencia, el conocimiento del asunto le correspondió al Juzgado Primero Promiscuo Municipal de Purificación. Ese despacho adelantó la audiencia concentrada en sesiones del 19 de septiembre y 5 de diciembre de 2018. En esa etapa reconoció a Martha Lucía Montiel Morales</w:t>
      </w:r>
      <w:r w:rsidR="00264BF4" w:rsidRPr="00D06CB8">
        <w:rPr>
          <w:rFonts w:ascii="Bookman Old Style" w:hAnsi="Bookman Old Style"/>
          <w:color w:val="000000"/>
          <w:spacing w:val="-3"/>
          <w:sz w:val="27"/>
          <w:szCs w:val="27"/>
        </w:rPr>
        <w:t xml:space="preserve"> como víctima</w:t>
      </w:r>
      <w:r w:rsidRPr="00D06CB8">
        <w:rPr>
          <w:rFonts w:ascii="Bookman Old Style" w:hAnsi="Bookman Old Style"/>
          <w:color w:val="000000"/>
          <w:spacing w:val="-3"/>
          <w:sz w:val="27"/>
          <w:szCs w:val="27"/>
        </w:rPr>
        <w:t xml:space="preserve">. </w:t>
      </w:r>
    </w:p>
    <w:p w14:paraId="2E62AE51" w14:textId="38071A28" w:rsidR="003E727A" w:rsidRPr="00D06CB8" w:rsidRDefault="003E727A" w:rsidP="0056217D">
      <w:pPr>
        <w:pStyle w:val="Textoindependiente"/>
        <w:spacing w:after="0" w:line="360" w:lineRule="auto"/>
        <w:ind w:firstLine="567"/>
        <w:jc w:val="both"/>
        <w:rPr>
          <w:rFonts w:ascii="Bookman Old Style" w:hAnsi="Bookman Old Style"/>
          <w:color w:val="000000"/>
          <w:spacing w:val="-3"/>
          <w:sz w:val="27"/>
          <w:szCs w:val="27"/>
        </w:rPr>
      </w:pPr>
    </w:p>
    <w:p w14:paraId="1E503BD8" w14:textId="3CF4F90D" w:rsidR="000B0C5B" w:rsidRPr="00D06CB8" w:rsidRDefault="003E727A" w:rsidP="6F994DCF">
      <w:pPr>
        <w:pStyle w:val="Textoindependiente"/>
        <w:numPr>
          <w:ilvl w:val="0"/>
          <w:numId w:val="6"/>
        </w:numPr>
        <w:spacing w:after="0" w:line="360" w:lineRule="auto"/>
        <w:ind w:left="0" w:firstLine="567"/>
        <w:jc w:val="both"/>
        <w:rPr>
          <w:rFonts w:ascii="Bookman Old Style" w:hAnsi="Bookman Old Style"/>
          <w:color w:val="000000"/>
          <w:spacing w:val="-3"/>
          <w:sz w:val="27"/>
          <w:szCs w:val="27"/>
          <w:lang w:val="es-ES"/>
        </w:rPr>
      </w:pPr>
      <w:r w:rsidRPr="00D06CB8">
        <w:rPr>
          <w:rFonts w:ascii="Bookman Old Style" w:hAnsi="Bookman Old Style"/>
          <w:color w:val="000000"/>
          <w:spacing w:val="-3"/>
          <w:sz w:val="27"/>
          <w:szCs w:val="27"/>
        </w:rPr>
        <w:t xml:space="preserve">El </w:t>
      </w:r>
      <w:r w:rsidR="00E00749" w:rsidRPr="00D06CB8">
        <w:rPr>
          <w:rFonts w:ascii="Bookman Old Style" w:hAnsi="Bookman Old Style"/>
          <w:color w:val="000000"/>
          <w:spacing w:val="-3"/>
          <w:sz w:val="27"/>
          <w:szCs w:val="27"/>
        </w:rPr>
        <w:t xml:space="preserve">Juzgado desarrolló el </w:t>
      </w:r>
      <w:r w:rsidRPr="00D06CB8">
        <w:rPr>
          <w:rFonts w:ascii="Bookman Old Style" w:hAnsi="Bookman Old Style"/>
          <w:color w:val="000000"/>
          <w:spacing w:val="-3"/>
          <w:sz w:val="27"/>
          <w:szCs w:val="27"/>
        </w:rPr>
        <w:t xml:space="preserve">juicio oral </w:t>
      </w:r>
      <w:r w:rsidR="005570C1" w:rsidRPr="00D06CB8">
        <w:rPr>
          <w:rFonts w:ascii="Bookman Old Style" w:hAnsi="Bookman Old Style"/>
          <w:color w:val="000000"/>
          <w:spacing w:val="-3"/>
          <w:sz w:val="27"/>
          <w:szCs w:val="27"/>
        </w:rPr>
        <w:t>entre el</w:t>
      </w:r>
      <w:r w:rsidRPr="00D06CB8">
        <w:rPr>
          <w:rFonts w:ascii="Bookman Old Style" w:hAnsi="Bookman Old Style"/>
          <w:color w:val="000000"/>
          <w:spacing w:val="-3"/>
          <w:sz w:val="27"/>
          <w:szCs w:val="27"/>
        </w:rPr>
        <w:t xml:space="preserve"> 23 de abril</w:t>
      </w:r>
      <w:r w:rsidR="005570C1" w:rsidRPr="00D06CB8">
        <w:rPr>
          <w:rFonts w:ascii="Bookman Old Style" w:hAnsi="Bookman Old Style"/>
          <w:color w:val="000000"/>
          <w:spacing w:val="-3"/>
          <w:sz w:val="27"/>
          <w:szCs w:val="27"/>
        </w:rPr>
        <w:t xml:space="preserve"> y el</w:t>
      </w:r>
      <w:r w:rsidRPr="00D06CB8">
        <w:rPr>
          <w:rFonts w:ascii="Bookman Old Style" w:hAnsi="Bookman Old Style"/>
          <w:color w:val="000000"/>
          <w:spacing w:val="-3"/>
          <w:sz w:val="27"/>
          <w:szCs w:val="27"/>
        </w:rPr>
        <w:t xml:space="preserve"> 12 de septiembre de 2019. </w:t>
      </w:r>
      <w:r w:rsidR="000B0C5B" w:rsidRPr="00D06CB8">
        <w:rPr>
          <w:rFonts w:ascii="Bookman Old Style" w:hAnsi="Bookman Old Style"/>
          <w:spacing w:val="-4"/>
          <w:sz w:val="27"/>
          <w:szCs w:val="27"/>
        </w:rPr>
        <w:t>Durante la práctica probatoria, la Fiscalía ofreció los testimonios de</w:t>
      </w:r>
      <w:r w:rsidR="145F6CCC" w:rsidRPr="00D06CB8">
        <w:rPr>
          <w:rFonts w:ascii="Bookman Old Style" w:hAnsi="Bookman Old Style"/>
          <w:spacing w:val="-4"/>
          <w:sz w:val="27"/>
          <w:szCs w:val="27"/>
        </w:rPr>
        <w:t xml:space="preserve"> </w:t>
      </w:r>
      <w:r w:rsidR="00FD5E30" w:rsidRPr="00D06CB8">
        <w:rPr>
          <w:rFonts w:ascii="Bookman Old Style" w:hAnsi="Bookman Old Style"/>
          <w:i/>
          <w:iCs/>
          <w:color w:val="000000"/>
          <w:spacing w:val="-3"/>
          <w:sz w:val="27"/>
          <w:szCs w:val="27"/>
          <w:lang w:val="es-ES"/>
        </w:rPr>
        <w:t>i)</w:t>
      </w:r>
      <w:r w:rsidR="00FD5E30" w:rsidRPr="00D06CB8">
        <w:rPr>
          <w:rFonts w:ascii="Bookman Old Style" w:hAnsi="Bookman Old Style"/>
          <w:color w:val="000000"/>
          <w:spacing w:val="-3"/>
          <w:sz w:val="27"/>
          <w:szCs w:val="27"/>
          <w:lang w:val="es-ES"/>
        </w:rPr>
        <w:t xml:space="preserve"> Martha Lucía Montiel Morales; </w:t>
      </w:r>
      <w:r w:rsidR="00FD5E30" w:rsidRPr="00D06CB8">
        <w:rPr>
          <w:rFonts w:ascii="Bookman Old Style" w:hAnsi="Bookman Old Style"/>
          <w:i/>
          <w:iCs/>
          <w:color w:val="000000"/>
          <w:spacing w:val="-3"/>
          <w:sz w:val="27"/>
          <w:szCs w:val="27"/>
          <w:lang w:val="es-ES"/>
        </w:rPr>
        <w:t xml:space="preserve">ii) </w:t>
      </w:r>
      <w:r w:rsidR="00FD5E30" w:rsidRPr="00D06CB8">
        <w:rPr>
          <w:rFonts w:ascii="Bookman Old Style" w:hAnsi="Bookman Old Style"/>
          <w:color w:val="000000"/>
          <w:spacing w:val="-3"/>
          <w:sz w:val="27"/>
          <w:szCs w:val="27"/>
          <w:lang w:val="es-ES"/>
        </w:rPr>
        <w:t xml:space="preserve">José Yesid Montiel Morales; </w:t>
      </w:r>
      <w:r w:rsidR="00FD5E30" w:rsidRPr="00D06CB8">
        <w:rPr>
          <w:rFonts w:ascii="Bookman Old Style" w:hAnsi="Bookman Old Style"/>
          <w:i/>
          <w:iCs/>
          <w:color w:val="000000"/>
          <w:spacing w:val="-3"/>
          <w:sz w:val="27"/>
          <w:szCs w:val="27"/>
          <w:lang w:val="es-ES"/>
        </w:rPr>
        <w:t xml:space="preserve">iii) </w:t>
      </w:r>
      <w:r w:rsidR="00FD5E30" w:rsidRPr="00D06CB8">
        <w:rPr>
          <w:rFonts w:ascii="Bookman Old Style" w:hAnsi="Bookman Old Style"/>
          <w:color w:val="000000"/>
          <w:spacing w:val="-3"/>
          <w:sz w:val="27"/>
          <w:szCs w:val="27"/>
          <w:lang w:val="es-ES"/>
        </w:rPr>
        <w:t xml:space="preserve">Juan Carlos Llanos </w:t>
      </w:r>
      <w:r w:rsidR="00FD5E30" w:rsidRPr="00D06CB8">
        <w:rPr>
          <w:rFonts w:ascii="Bookman Old Style" w:hAnsi="Bookman Old Style"/>
          <w:color w:val="000000"/>
          <w:spacing w:val="-3"/>
          <w:sz w:val="27"/>
          <w:szCs w:val="27"/>
          <w:lang w:val="es-ES"/>
        </w:rPr>
        <w:lastRenderedPageBreak/>
        <w:t xml:space="preserve">Culma; </w:t>
      </w:r>
      <w:r w:rsidR="00FD5E30" w:rsidRPr="00D06CB8">
        <w:rPr>
          <w:rFonts w:ascii="Bookman Old Style" w:hAnsi="Bookman Old Style"/>
          <w:i/>
          <w:iCs/>
          <w:color w:val="000000"/>
          <w:spacing w:val="-3"/>
          <w:sz w:val="27"/>
          <w:szCs w:val="27"/>
          <w:lang w:val="es-ES"/>
        </w:rPr>
        <w:t>iv)</w:t>
      </w:r>
      <w:r w:rsidR="00FD5E30" w:rsidRPr="00D06CB8">
        <w:rPr>
          <w:rFonts w:ascii="Bookman Old Style" w:hAnsi="Bookman Old Style"/>
          <w:color w:val="000000"/>
          <w:spacing w:val="-3"/>
          <w:sz w:val="27"/>
          <w:szCs w:val="27"/>
          <w:lang w:val="es-ES"/>
        </w:rPr>
        <w:t xml:space="preserve"> Jhon Fredy López Mendoz</w:t>
      </w:r>
      <w:r w:rsidR="00EB7AE0" w:rsidRPr="00D06CB8">
        <w:rPr>
          <w:rFonts w:ascii="Bookman Old Style" w:hAnsi="Bookman Old Style"/>
          <w:color w:val="000000"/>
          <w:spacing w:val="-3"/>
          <w:sz w:val="27"/>
          <w:szCs w:val="27"/>
          <w:lang w:val="es-ES"/>
        </w:rPr>
        <w:t>a</w:t>
      </w:r>
      <w:r w:rsidR="005B62C8" w:rsidRPr="00D06CB8">
        <w:rPr>
          <w:rStyle w:val="Refdenotaalpie"/>
          <w:rFonts w:ascii="Bookman Old Style" w:hAnsi="Bookman Old Style"/>
          <w:color w:val="000000"/>
          <w:spacing w:val="-3"/>
          <w:sz w:val="27"/>
          <w:szCs w:val="27"/>
          <w:lang w:val="es-ES"/>
        </w:rPr>
        <w:footnoteReference w:id="2"/>
      </w:r>
      <w:r w:rsidR="00EB7AE0" w:rsidRPr="00D06CB8">
        <w:rPr>
          <w:rFonts w:ascii="Bookman Old Style" w:hAnsi="Bookman Old Style"/>
          <w:color w:val="000000"/>
          <w:spacing w:val="-3"/>
          <w:sz w:val="27"/>
          <w:szCs w:val="27"/>
          <w:lang w:val="es-ES"/>
        </w:rPr>
        <w:t xml:space="preserve">; </w:t>
      </w:r>
      <w:r w:rsidR="00EB7AE0" w:rsidRPr="00D06CB8">
        <w:rPr>
          <w:rFonts w:ascii="Bookman Old Style" w:hAnsi="Bookman Old Style"/>
          <w:i/>
          <w:iCs/>
          <w:color w:val="000000"/>
          <w:spacing w:val="-3"/>
          <w:sz w:val="27"/>
          <w:szCs w:val="27"/>
          <w:lang w:val="es-ES"/>
        </w:rPr>
        <w:t xml:space="preserve">v) </w:t>
      </w:r>
      <w:r w:rsidR="00FD5E30" w:rsidRPr="00D06CB8">
        <w:rPr>
          <w:rFonts w:ascii="Bookman Old Style" w:hAnsi="Bookman Old Style"/>
          <w:color w:val="000000"/>
          <w:spacing w:val="-3"/>
          <w:sz w:val="27"/>
          <w:szCs w:val="27"/>
          <w:lang w:val="es-ES"/>
        </w:rPr>
        <w:t>Julio César Rengifo Gómez</w:t>
      </w:r>
      <w:r w:rsidR="005B62C8" w:rsidRPr="00D06CB8">
        <w:rPr>
          <w:rStyle w:val="Refdenotaalpie"/>
          <w:rFonts w:ascii="Bookman Old Style" w:hAnsi="Bookman Old Style"/>
          <w:color w:val="000000"/>
          <w:spacing w:val="-3"/>
          <w:sz w:val="27"/>
          <w:szCs w:val="27"/>
          <w:lang w:val="es-ES"/>
        </w:rPr>
        <w:footnoteReference w:id="3"/>
      </w:r>
      <w:r w:rsidR="007F0943" w:rsidRPr="00D06CB8">
        <w:rPr>
          <w:rFonts w:ascii="Bookman Old Style" w:hAnsi="Bookman Old Style"/>
          <w:color w:val="000000"/>
          <w:spacing w:val="-3"/>
          <w:sz w:val="27"/>
          <w:szCs w:val="27"/>
          <w:lang w:val="es-ES"/>
        </w:rPr>
        <w:t>, y</w:t>
      </w:r>
      <w:r w:rsidR="00FD5E30" w:rsidRPr="00D06CB8">
        <w:rPr>
          <w:rFonts w:ascii="Bookman Old Style" w:hAnsi="Bookman Old Style"/>
          <w:color w:val="000000"/>
          <w:spacing w:val="-3"/>
          <w:sz w:val="27"/>
          <w:szCs w:val="27"/>
          <w:lang w:val="es-ES"/>
        </w:rPr>
        <w:t xml:space="preserve"> </w:t>
      </w:r>
      <w:r w:rsidR="00EB7AE0" w:rsidRPr="00D06CB8">
        <w:rPr>
          <w:rFonts w:ascii="Bookman Old Style" w:hAnsi="Bookman Old Style"/>
          <w:i/>
          <w:iCs/>
          <w:color w:val="000000"/>
          <w:spacing w:val="-3"/>
          <w:sz w:val="27"/>
          <w:szCs w:val="27"/>
          <w:lang w:val="es-ES"/>
        </w:rPr>
        <w:t>vi)</w:t>
      </w:r>
      <w:r w:rsidR="00EB7AE0" w:rsidRPr="00D06CB8">
        <w:rPr>
          <w:rFonts w:ascii="Bookman Old Style" w:hAnsi="Bookman Old Style"/>
          <w:color w:val="000000"/>
          <w:spacing w:val="-3"/>
          <w:sz w:val="27"/>
          <w:szCs w:val="27"/>
          <w:lang w:val="es-ES"/>
        </w:rPr>
        <w:t xml:space="preserve"> </w:t>
      </w:r>
      <w:r w:rsidR="00FD5E30" w:rsidRPr="00D06CB8">
        <w:rPr>
          <w:rFonts w:ascii="Bookman Old Style" w:hAnsi="Bookman Old Style"/>
          <w:color w:val="000000"/>
          <w:spacing w:val="-3"/>
          <w:sz w:val="27"/>
          <w:szCs w:val="27"/>
          <w:lang w:val="es-ES"/>
        </w:rPr>
        <w:t>Hugo Alejandro Mora Pérez</w:t>
      </w:r>
      <w:r w:rsidR="005B62C8" w:rsidRPr="00D06CB8">
        <w:rPr>
          <w:rStyle w:val="Refdenotaalpie"/>
          <w:rFonts w:ascii="Bookman Old Style" w:hAnsi="Bookman Old Style"/>
          <w:color w:val="000000"/>
          <w:spacing w:val="-3"/>
          <w:sz w:val="27"/>
          <w:szCs w:val="27"/>
          <w:lang w:val="es-ES"/>
        </w:rPr>
        <w:footnoteReference w:id="4"/>
      </w:r>
      <w:r w:rsidR="0001118B" w:rsidRPr="00D06CB8">
        <w:rPr>
          <w:rFonts w:ascii="Bookman Old Style" w:hAnsi="Bookman Old Style"/>
          <w:color w:val="000000"/>
          <w:spacing w:val="-3"/>
          <w:sz w:val="27"/>
          <w:szCs w:val="27"/>
          <w:lang w:val="es-ES"/>
        </w:rPr>
        <w:t>.</w:t>
      </w:r>
      <w:r w:rsidR="00FD5E30" w:rsidRPr="00D06CB8">
        <w:rPr>
          <w:rFonts w:ascii="Bookman Old Style" w:hAnsi="Bookman Old Style"/>
          <w:color w:val="000000"/>
          <w:spacing w:val="-3"/>
          <w:sz w:val="27"/>
          <w:szCs w:val="27"/>
          <w:lang w:val="es-ES"/>
        </w:rPr>
        <w:t xml:space="preserve"> </w:t>
      </w:r>
    </w:p>
    <w:p w14:paraId="4C890AD1" w14:textId="77777777" w:rsidR="00FD5E30" w:rsidRPr="00D06CB8" w:rsidRDefault="00FD5E30" w:rsidP="0056217D">
      <w:pPr>
        <w:pStyle w:val="Textoindependiente"/>
        <w:spacing w:after="0" w:line="360" w:lineRule="auto"/>
        <w:ind w:firstLine="567"/>
        <w:jc w:val="both"/>
        <w:rPr>
          <w:rFonts w:ascii="Bookman Old Style" w:hAnsi="Bookman Old Style"/>
          <w:color w:val="000000"/>
          <w:spacing w:val="-3"/>
          <w:sz w:val="27"/>
          <w:szCs w:val="27"/>
        </w:rPr>
      </w:pPr>
    </w:p>
    <w:p w14:paraId="63691F42" w14:textId="6E341671" w:rsidR="00FD5E30" w:rsidRPr="00D06CB8" w:rsidRDefault="00FD5E30" w:rsidP="6F994DCF">
      <w:pPr>
        <w:pStyle w:val="Textoindependiente"/>
        <w:spacing w:after="0" w:line="360" w:lineRule="auto"/>
        <w:ind w:firstLine="567"/>
        <w:jc w:val="both"/>
        <w:rPr>
          <w:rFonts w:ascii="Bookman Old Style" w:hAnsi="Bookman Old Style"/>
          <w:color w:val="000000"/>
          <w:spacing w:val="-3"/>
          <w:sz w:val="27"/>
          <w:szCs w:val="27"/>
          <w:lang w:val="es-ES"/>
        </w:rPr>
      </w:pPr>
      <w:r w:rsidRPr="00D06CB8">
        <w:rPr>
          <w:rFonts w:ascii="Bookman Old Style" w:hAnsi="Bookman Old Style"/>
          <w:color w:val="000000"/>
          <w:spacing w:val="-3"/>
          <w:sz w:val="27"/>
          <w:szCs w:val="27"/>
          <w:lang w:val="es-ES"/>
        </w:rPr>
        <w:t xml:space="preserve">La defensa presentó </w:t>
      </w:r>
      <w:r w:rsidR="0001118B" w:rsidRPr="00D06CB8">
        <w:rPr>
          <w:rFonts w:ascii="Bookman Old Style" w:hAnsi="Bookman Old Style"/>
          <w:color w:val="000000"/>
          <w:spacing w:val="-3"/>
          <w:sz w:val="27"/>
          <w:szCs w:val="27"/>
          <w:lang w:val="es-ES"/>
        </w:rPr>
        <w:t xml:space="preserve">los siguientes testimonios: </w:t>
      </w:r>
      <w:r w:rsidR="00CB5566" w:rsidRPr="00D06CB8">
        <w:rPr>
          <w:rFonts w:ascii="Bookman Old Style" w:hAnsi="Bookman Old Style"/>
          <w:i/>
          <w:iCs/>
          <w:color w:val="000000"/>
          <w:spacing w:val="-3"/>
          <w:sz w:val="27"/>
          <w:szCs w:val="27"/>
          <w:lang w:val="es-ES"/>
        </w:rPr>
        <w:t>i)</w:t>
      </w:r>
      <w:r w:rsidRPr="00D06CB8">
        <w:rPr>
          <w:rFonts w:ascii="Bookman Old Style" w:hAnsi="Bookman Old Style"/>
          <w:color w:val="000000"/>
          <w:spacing w:val="-3"/>
          <w:sz w:val="27"/>
          <w:szCs w:val="27"/>
          <w:lang w:val="es-ES"/>
        </w:rPr>
        <w:t xml:space="preserve"> Agustín Sánchez Penago</w:t>
      </w:r>
      <w:r w:rsidR="0041546C" w:rsidRPr="00D06CB8">
        <w:rPr>
          <w:rFonts w:ascii="Bookman Old Style" w:hAnsi="Bookman Old Style"/>
          <w:color w:val="000000"/>
          <w:spacing w:val="-3"/>
          <w:sz w:val="27"/>
          <w:szCs w:val="27"/>
          <w:lang w:val="es-ES"/>
        </w:rPr>
        <w:t>s</w:t>
      </w:r>
      <w:r w:rsidR="005B62C8" w:rsidRPr="00D06CB8">
        <w:rPr>
          <w:rStyle w:val="Refdenotaalpie"/>
          <w:rFonts w:ascii="Bookman Old Style" w:hAnsi="Bookman Old Style"/>
          <w:color w:val="000000"/>
          <w:spacing w:val="-3"/>
          <w:sz w:val="27"/>
          <w:szCs w:val="27"/>
          <w:lang w:val="es-ES"/>
        </w:rPr>
        <w:footnoteReference w:id="5"/>
      </w:r>
      <w:r w:rsidR="0041546C" w:rsidRPr="00D06CB8">
        <w:rPr>
          <w:rFonts w:ascii="Bookman Old Style" w:hAnsi="Bookman Old Style"/>
          <w:color w:val="000000"/>
          <w:spacing w:val="-3"/>
          <w:sz w:val="27"/>
          <w:szCs w:val="27"/>
          <w:lang w:val="es-ES"/>
        </w:rPr>
        <w:t>;</w:t>
      </w:r>
      <w:r w:rsidRPr="00D06CB8">
        <w:rPr>
          <w:rFonts w:ascii="Bookman Old Style" w:hAnsi="Bookman Old Style"/>
          <w:color w:val="000000"/>
          <w:spacing w:val="-3"/>
          <w:sz w:val="27"/>
          <w:szCs w:val="27"/>
          <w:lang w:val="es-ES"/>
        </w:rPr>
        <w:t xml:space="preserve"> </w:t>
      </w:r>
      <w:r w:rsidR="00CB5566" w:rsidRPr="00D06CB8">
        <w:rPr>
          <w:rFonts w:ascii="Bookman Old Style" w:hAnsi="Bookman Old Style"/>
          <w:i/>
          <w:iCs/>
          <w:color w:val="000000"/>
          <w:spacing w:val="-3"/>
          <w:sz w:val="27"/>
          <w:szCs w:val="27"/>
          <w:lang w:val="es-ES"/>
        </w:rPr>
        <w:t>ii)</w:t>
      </w:r>
      <w:r w:rsidRPr="00D06CB8">
        <w:rPr>
          <w:rFonts w:ascii="Bookman Old Style" w:hAnsi="Bookman Old Style"/>
          <w:color w:val="000000"/>
          <w:spacing w:val="-3"/>
          <w:sz w:val="27"/>
          <w:szCs w:val="27"/>
          <w:lang w:val="es-ES"/>
        </w:rPr>
        <w:t xml:space="preserve"> Luis Alfonso Guerra</w:t>
      </w:r>
      <w:r w:rsidR="00BB186D" w:rsidRPr="00D06CB8">
        <w:rPr>
          <w:rStyle w:val="Refdenotaalpie"/>
          <w:rFonts w:ascii="Bookman Old Style" w:hAnsi="Bookman Old Style"/>
          <w:color w:val="000000"/>
          <w:spacing w:val="-3"/>
          <w:sz w:val="27"/>
          <w:szCs w:val="27"/>
          <w:lang w:val="es-ES"/>
        </w:rPr>
        <w:footnoteReference w:id="6"/>
      </w:r>
      <w:r w:rsidR="007F0943" w:rsidRPr="00D06CB8">
        <w:rPr>
          <w:rFonts w:ascii="Bookman Old Style" w:hAnsi="Bookman Old Style"/>
          <w:color w:val="000000"/>
          <w:spacing w:val="-3"/>
          <w:sz w:val="27"/>
          <w:szCs w:val="27"/>
          <w:lang w:val="es-ES"/>
        </w:rPr>
        <w:t>, y</w:t>
      </w:r>
      <w:r w:rsidRPr="00D06CB8">
        <w:rPr>
          <w:rFonts w:ascii="Bookman Old Style" w:hAnsi="Bookman Old Style"/>
          <w:color w:val="000000"/>
          <w:spacing w:val="-3"/>
          <w:sz w:val="27"/>
          <w:szCs w:val="27"/>
          <w:lang w:val="es-ES"/>
        </w:rPr>
        <w:t xml:space="preserve"> </w:t>
      </w:r>
      <w:r w:rsidR="00CB5566" w:rsidRPr="00D06CB8">
        <w:rPr>
          <w:rFonts w:ascii="Bookman Old Style" w:hAnsi="Bookman Old Style"/>
          <w:i/>
          <w:iCs/>
          <w:color w:val="000000"/>
          <w:spacing w:val="-3"/>
          <w:sz w:val="27"/>
          <w:szCs w:val="27"/>
          <w:lang w:val="es-ES"/>
        </w:rPr>
        <w:t>iii)</w:t>
      </w:r>
      <w:r w:rsidR="00CB5566" w:rsidRPr="00D06CB8">
        <w:rPr>
          <w:rFonts w:ascii="Bookman Old Style" w:hAnsi="Bookman Old Style"/>
          <w:color w:val="000000"/>
          <w:spacing w:val="-3"/>
          <w:sz w:val="27"/>
          <w:szCs w:val="27"/>
          <w:lang w:val="es-ES"/>
        </w:rPr>
        <w:t xml:space="preserve"> </w:t>
      </w:r>
      <w:r w:rsidRPr="00D06CB8">
        <w:rPr>
          <w:rFonts w:ascii="Bookman Old Style" w:hAnsi="Bookman Old Style"/>
          <w:smallCaps/>
          <w:color w:val="000000"/>
          <w:spacing w:val="-3"/>
          <w:sz w:val="27"/>
          <w:szCs w:val="27"/>
          <w:lang w:val="es-ES"/>
        </w:rPr>
        <w:t>Armando Loaiza Céspedes</w:t>
      </w:r>
      <w:r w:rsidR="00BB186D" w:rsidRPr="00D06CB8">
        <w:rPr>
          <w:rStyle w:val="Refdenotaalpie"/>
          <w:rFonts w:ascii="Bookman Old Style" w:hAnsi="Bookman Old Style"/>
          <w:color w:val="000000"/>
          <w:spacing w:val="-3"/>
          <w:sz w:val="27"/>
          <w:szCs w:val="27"/>
          <w:lang w:val="es-ES"/>
        </w:rPr>
        <w:footnoteReference w:id="7"/>
      </w:r>
      <w:r w:rsidR="0041546C" w:rsidRPr="00D06CB8">
        <w:rPr>
          <w:rFonts w:ascii="Bookman Old Style" w:hAnsi="Bookman Old Style"/>
          <w:color w:val="000000"/>
          <w:spacing w:val="-3"/>
          <w:sz w:val="27"/>
          <w:szCs w:val="27"/>
          <w:lang w:val="es-ES"/>
        </w:rPr>
        <w:t>.</w:t>
      </w:r>
    </w:p>
    <w:p w14:paraId="0C90F634" w14:textId="77777777" w:rsidR="00FD5E30" w:rsidRPr="00D06CB8" w:rsidRDefault="00FD5E30" w:rsidP="0056217D">
      <w:pPr>
        <w:pStyle w:val="Textoindependiente"/>
        <w:spacing w:after="0" w:line="360" w:lineRule="auto"/>
        <w:ind w:firstLine="567"/>
        <w:jc w:val="both"/>
        <w:rPr>
          <w:rFonts w:ascii="Bookman Old Style" w:hAnsi="Bookman Old Style"/>
          <w:color w:val="000000"/>
          <w:spacing w:val="-3"/>
          <w:sz w:val="27"/>
          <w:szCs w:val="27"/>
        </w:rPr>
      </w:pPr>
    </w:p>
    <w:p w14:paraId="0B530D98" w14:textId="758579C6" w:rsidR="00FD5E30" w:rsidRPr="00D06CB8" w:rsidRDefault="0041546C" w:rsidP="0056217D">
      <w:pPr>
        <w:pStyle w:val="Textoindependiente"/>
        <w:numPr>
          <w:ilvl w:val="0"/>
          <w:numId w:val="6"/>
        </w:numPr>
        <w:spacing w:after="0" w:line="360" w:lineRule="auto"/>
        <w:ind w:left="0" w:firstLine="567"/>
        <w:jc w:val="both"/>
        <w:rPr>
          <w:rFonts w:ascii="Bookman Old Style" w:hAnsi="Bookman Old Style"/>
          <w:color w:val="000000"/>
          <w:spacing w:val="-3"/>
          <w:sz w:val="27"/>
          <w:szCs w:val="27"/>
        </w:rPr>
      </w:pPr>
      <w:r w:rsidRPr="00D06CB8">
        <w:rPr>
          <w:rFonts w:ascii="Bookman Old Style" w:hAnsi="Bookman Old Style"/>
          <w:color w:val="000000"/>
          <w:spacing w:val="-3"/>
          <w:sz w:val="27"/>
          <w:szCs w:val="27"/>
        </w:rPr>
        <w:t xml:space="preserve">El 26 de noviembre de 2019 </w:t>
      </w:r>
      <w:r w:rsidRPr="00D06CB8">
        <w:rPr>
          <w:rFonts w:ascii="Bookman Old Style" w:hAnsi="Bookman Old Style"/>
          <w:spacing w:val="-4"/>
          <w:sz w:val="27"/>
          <w:szCs w:val="27"/>
        </w:rPr>
        <w:t xml:space="preserve">el </w:t>
      </w:r>
      <w:r w:rsidR="008E77A7" w:rsidRPr="00D06CB8">
        <w:rPr>
          <w:rFonts w:ascii="Bookman Old Style" w:hAnsi="Bookman Old Style"/>
          <w:spacing w:val="-4"/>
          <w:sz w:val="27"/>
          <w:szCs w:val="27"/>
        </w:rPr>
        <w:t>d</w:t>
      </w:r>
      <w:r w:rsidRPr="00D06CB8">
        <w:rPr>
          <w:rFonts w:ascii="Bookman Old Style" w:hAnsi="Bookman Old Style"/>
          <w:spacing w:val="-4"/>
          <w:sz w:val="27"/>
          <w:szCs w:val="27"/>
        </w:rPr>
        <w:t xml:space="preserve">espacho </w:t>
      </w:r>
      <w:r w:rsidR="00FD5E30" w:rsidRPr="00D06CB8">
        <w:rPr>
          <w:rFonts w:ascii="Bookman Old Style" w:hAnsi="Bookman Old Style"/>
          <w:color w:val="000000"/>
          <w:spacing w:val="-3"/>
          <w:sz w:val="27"/>
          <w:szCs w:val="27"/>
        </w:rPr>
        <w:t>anunció sentido del fallo absolutorio</w:t>
      </w:r>
      <w:r w:rsidRPr="00D06CB8">
        <w:rPr>
          <w:rFonts w:ascii="Bookman Old Style" w:hAnsi="Bookman Old Style"/>
          <w:color w:val="000000"/>
          <w:spacing w:val="-3"/>
          <w:sz w:val="27"/>
          <w:szCs w:val="27"/>
        </w:rPr>
        <w:t xml:space="preserve">. El 11 de diciembre de ese año profirió la </w:t>
      </w:r>
      <w:r w:rsidR="00FD5E30" w:rsidRPr="00D06CB8">
        <w:rPr>
          <w:rFonts w:ascii="Bookman Old Style" w:hAnsi="Bookman Old Style"/>
          <w:color w:val="000000"/>
          <w:spacing w:val="-3"/>
          <w:sz w:val="27"/>
          <w:szCs w:val="27"/>
        </w:rPr>
        <w:t xml:space="preserve">sentencia. </w:t>
      </w:r>
      <w:r w:rsidRPr="00D06CB8">
        <w:rPr>
          <w:rFonts w:ascii="Bookman Old Style" w:hAnsi="Bookman Old Style"/>
          <w:spacing w:val="-4"/>
          <w:sz w:val="27"/>
          <w:szCs w:val="27"/>
        </w:rPr>
        <w:t>El apoderado de la víctima interpuso recurso de apelación.</w:t>
      </w:r>
    </w:p>
    <w:p w14:paraId="6B3C81F9" w14:textId="77777777" w:rsidR="00FD5E30" w:rsidRPr="00D06CB8" w:rsidRDefault="00FD5E30" w:rsidP="0056217D">
      <w:pPr>
        <w:pStyle w:val="Textoindependiente"/>
        <w:spacing w:after="0" w:line="360" w:lineRule="auto"/>
        <w:ind w:firstLine="567"/>
        <w:jc w:val="both"/>
        <w:rPr>
          <w:rFonts w:ascii="Bookman Old Style" w:hAnsi="Bookman Old Style"/>
          <w:color w:val="000000"/>
          <w:spacing w:val="-3"/>
          <w:sz w:val="27"/>
          <w:szCs w:val="27"/>
        </w:rPr>
      </w:pPr>
    </w:p>
    <w:p w14:paraId="25703FFC" w14:textId="1C9DA4CE" w:rsidR="00453C8A" w:rsidRPr="00D06CB8" w:rsidRDefault="0041546C" w:rsidP="6F994DCF">
      <w:pPr>
        <w:pStyle w:val="Textoindependiente"/>
        <w:numPr>
          <w:ilvl w:val="0"/>
          <w:numId w:val="6"/>
        </w:numPr>
        <w:spacing w:after="0" w:line="360" w:lineRule="auto"/>
        <w:ind w:left="0" w:firstLine="567"/>
        <w:jc w:val="both"/>
        <w:rPr>
          <w:rFonts w:ascii="Bookman Old Style" w:hAnsi="Bookman Old Style"/>
          <w:color w:val="000000"/>
          <w:spacing w:val="-4"/>
          <w:sz w:val="27"/>
          <w:szCs w:val="27"/>
          <w:lang w:val="es-ES"/>
        </w:rPr>
      </w:pPr>
      <w:r w:rsidRPr="00D06CB8">
        <w:rPr>
          <w:rFonts w:ascii="Bookman Old Style" w:hAnsi="Bookman Old Style"/>
          <w:color w:val="000000"/>
          <w:spacing w:val="-3"/>
          <w:sz w:val="27"/>
          <w:szCs w:val="27"/>
          <w:lang w:val="es-ES"/>
        </w:rPr>
        <w:t>El 22 de abril de 2022 la</w:t>
      </w:r>
      <w:r w:rsidR="003E727A" w:rsidRPr="00D06CB8">
        <w:rPr>
          <w:rFonts w:ascii="Bookman Old Style" w:hAnsi="Bookman Old Style"/>
          <w:color w:val="000000"/>
          <w:spacing w:val="-3"/>
          <w:sz w:val="27"/>
          <w:szCs w:val="27"/>
          <w:lang w:val="es-ES"/>
        </w:rPr>
        <w:t xml:space="preserve"> Sala Penal del Tribunal Superior de Ibagué </w:t>
      </w:r>
      <w:r w:rsidRPr="00D06CB8">
        <w:rPr>
          <w:rFonts w:ascii="Bookman Old Style" w:hAnsi="Bookman Old Style"/>
          <w:color w:val="000000"/>
          <w:spacing w:val="-4"/>
          <w:sz w:val="27"/>
          <w:szCs w:val="27"/>
          <w:lang w:val="es-ES"/>
        </w:rPr>
        <w:t>revocó la sentencia.</w:t>
      </w:r>
      <w:r w:rsidR="009236CA" w:rsidRPr="00D06CB8">
        <w:rPr>
          <w:rFonts w:ascii="Bookman Old Style" w:hAnsi="Bookman Old Style"/>
          <w:color w:val="000000"/>
          <w:spacing w:val="-4"/>
          <w:sz w:val="27"/>
          <w:szCs w:val="27"/>
          <w:lang w:val="es-ES"/>
        </w:rPr>
        <w:t xml:space="preserve"> En su lugar, </w:t>
      </w:r>
      <w:r w:rsidR="007D0445" w:rsidRPr="00D06CB8">
        <w:rPr>
          <w:rFonts w:ascii="Bookman Old Style" w:hAnsi="Bookman Old Style"/>
          <w:color w:val="000000"/>
          <w:spacing w:val="-4"/>
          <w:sz w:val="27"/>
          <w:szCs w:val="27"/>
          <w:lang w:val="es-ES"/>
        </w:rPr>
        <w:t>declaró penalmente responsable</w:t>
      </w:r>
      <w:r w:rsidRPr="00D06CB8">
        <w:rPr>
          <w:rFonts w:ascii="Bookman Old Style" w:hAnsi="Bookman Old Style"/>
          <w:color w:val="000000"/>
          <w:spacing w:val="-4"/>
          <w:sz w:val="27"/>
          <w:szCs w:val="27"/>
          <w:lang w:val="es-ES"/>
        </w:rPr>
        <w:t xml:space="preserve">s </w:t>
      </w:r>
      <w:r w:rsidR="009236CA" w:rsidRPr="00D06CB8">
        <w:rPr>
          <w:rFonts w:ascii="Bookman Old Style" w:hAnsi="Bookman Old Style"/>
          <w:color w:val="000000"/>
          <w:spacing w:val="-4"/>
          <w:sz w:val="27"/>
          <w:szCs w:val="27"/>
          <w:lang w:val="es-ES"/>
        </w:rPr>
        <w:t xml:space="preserve">a </w:t>
      </w:r>
      <w:r w:rsidRPr="00D06CB8">
        <w:rPr>
          <w:rFonts w:ascii="Bookman Old Style" w:hAnsi="Bookman Old Style"/>
          <w:smallCaps/>
          <w:color w:val="000000"/>
          <w:spacing w:val="-3"/>
          <w:sz w:val="27"/>
          <w:szCs w:val="27"/>
          <w:lang w:val="es-ES"/>
        </w:rPr>
        <w:t>Armando Loaiza Céspedes</w:t>
      </w:r>
      <w:r w:rsidRPr="00D06CB8">
        <w:rPr>
          <w:rFonts w:ascii="Bookman Old Style" w:hAnsi="Bookman Old Style"/>
          <w:color w:val="000000"/>
          <w:spacing w:val="-3"/>
          <w:sz w:val="27"/>
          <w:szCs w:val="27"/>
          <w:lang w:val="es-ES"/>
        </w:rPr>
        <w:t xml:space="preserve">, </w:t>
      </w:r>
      <w:r w:rsidRPr="00D06CB8">
        <w:rPr>
          <w:rFonts w:ascii="Bookman Old Style" w:hAnsi="Bookman Old Style"/>
          <w:smallCaps/>
          <w:color w:val="000000"/>
          <w:spacing w:val="-3"/>
          <w:sz w:val="27"/>
          <w:szCs w:val="27"/>
          <w:lang w:val="es-ES"/>
        </w:rPr>
        <w:t>Luis Enrique Peña Camacho</w:t>
      </w:r>
      <w:r w:rsidRPr="00D06CB8">
        <w:rPr>
          <w:rFonts w:ascii="Bookman Old Style" w:hAnsi="Bookman Old Style"/>
          <w:color w:val="000000"/>
          <w:spacing w:val="-3"/>
          <w:sz w:val="27"/>
          <w:szCs w:val="27"/>
          <w:lang w:val="es-ES"/>
        </w:rPr>
        <w:t xml:space="preserve"> y </w:t>
      </w:r>
      <w:r w:rsidR="00520EBC" w:rsidRPr="00D06CB8">
        <w:rPr>
          <w:rFonts w:ascii="Bookman Old Style" w:hAnsi="Bookman Old Style"/>
          <w:smallCaps/>
          <w:color w:val="000000"/>
          <w:spacing w:val="-3"/>
          <w:sz w:val="27"/>
          <w:szCs w:val="27"/>
          <w:lang w:val="es-ES"/>
        </w:rPr>
        <w:t>É</w:t>
      </w:r>
      <w:r w:rsidRPr="00D06CB8">
        <w:rPr>
          <w:rFonts w:ascii="Bookman Old Style" w:hAnsi="Bookman Old Style"/>
          <w:smallCaps/>
          <w:color w:val="000000"/>
          <w:spacing w:val="-3"/>
          <w:sz w:val="27"/>
          <w:szCs w:val="27"/>
          <w:lang w:val="es-ES"/>
        </w:rPr>
        <w:t>dgar Triana</w:t>
      </w:r>
      <w:r w:rsidRPr="00D06CB8">
        <w:rPr>
          <w:rFonts w:ascii="Bookman Old Style" w:hAnsi="Bookman Old Style"/>
          <w:color w:val="000000"/>
          <w:spacing w:val="-3"/>
          <w:sz w:val="27"/>
          <w:szCs w:val="27"/>
          <w:lang w:val="es-ES"/>
        </w:rPr>
        <w:t xml:space="preserve"> </w:t>
      </w:r>
      <w:r w:rsidRPr="00D06CB8">
        <w:rPr>
          <w:rFonts w:ascii="Bookman Old Style" w:hAnsi="Bookman Old Style"/>
          <w:color w:val="000000"/>
          <w:spacing w:val="-4"/>
          <w:sz w:val="27"/>
          <w:szCs w:val="27"/>
          <w:lang w:val="es-ES"/>
        </w:rPr>
        <w:t xml:space="preserve">como coautores del </w:t>
      </w:r>
      <w:r w:rsidR="009236CA" w:rsidRPr="00D06CB8">
        <w:rPr>
          <w:rFonts w:ascii="Bookman Old Style" w:hAnsi="Bookman Old Style"/>
          <w:color w:val="000000"/>
          <w:spacing w:val="-4"/>
          <w:sz w:val="27"/>
          <w:szCs w:val="27"/>
          <w:lang w:val="es-ES"/>
        </w:rPr>
        <w:t xml:space="preserve">delito de </w:t>
      </w:r>
      <w:r w:rsidRPr="00D06CB8">
        <w:rPr>
          <w:rFonts w:ascii="Bookman Old Style" w:hAnsi="Bookman Old Style"/>
          <w:color w:val="000000"/>
          <w:spacing w:val="-4"/>
          <w:sz w:val="27"/>
          <w:szCs w:val="27"/>
          <w:lang w:val="es-ES"/>
        </w:rPr>
        <w:t>invasión de tierras y edificaciones</w:t>
      </w:r>
      <w:r w:rsidR="00520EBC" w:rsidRPr="00D06CB8">
        <w:rPr>
          <w:rFonts w:ascii="Bookman Old Style" w:hAnsi="Bookman Old Style"/>
          <w:color w:val="000000"/>
          <w:spacing w:val="-4"/>
          <w:sz w:val="27"/>
          <w:szCs w:val="27"/>
          <w:lang w:val="es-ES"/>
        </w:rPr>
        <w:t>, agravado por el inciso 3º del artículo 263 Cp</w:t>
      </w:r>
      <w:r w:rsidR="00C033B4" w:rsidRPr="00D06CB8">
        <w:rPr>
          <w:rFonts w:ascii="Bookman Old Style" w:hAnsi="Bookman Old Style"/>
          <w:color w:val="000000"/>
          <w:spacing w:val="-4"/>
          <w:sz w:val="27"/>
          <w:szCs w:val="27"/>
          <w:lang w:val="es-ES"/>
        </w:rPr>
        <w:t xml:space="preserve"> </w:t>
      </w:r>
      <w:r w:rsidR="00FC6149" w:rsidRPr="00D06CB8">
        <w:rPr>
          <w:rFonts w:ascii="Bookman Old Style" w:hAnsi="Bookman Old Style"/>
          <w:color w:val="000000"/>
          <w:spacing w:val="-4"/>
          <w:sz w:val="27"/>
          <w:szCs w:val="27"/>
          <w:lang w:val="es-ES"/>
        </w:rPr>
        <w:t>y le</w:t>
      </w:r>
      <w:r w:rsidRPr="00D06CB8">
        <w:rPr>
          <w:rFonts w:ascii="Bookman Old Style" w:hAnsi="Bookman Old Style"/>
          <w:color w:val="000000"/>
          <w:spacing w:val="-4"/>
          <w:sz w:val="27"/>
          <w:szCs w:val="27"/>
          <w:lang w:val="es-ES"/>
        </w:rPr>
        <w:t>s</w:t>
      </w:r>
      <w:r w:rsidR="00FC6149" w:rsidRPr="00D06CB8">
        <w:rPr>
          <w:rFonts w:ascii="Bookman Old Style" w:hAnsi="Bookman Old Style"/>
          <w:color w:val="000000"/>
          <w:spacing w:val="-4"/>
          <w:sz w:val="27"/>
          <w:szCs w:val="27"/>
          <w:lang w:val="es-ES"/>
        </w:rPr>
        <w:t xml:space="preserve"> impuso la</w:t>
      </w:r>
      <w:r w:rsidRPr="00D06CB8">
        <w:rPr>
          <w:rFonts w:ascii="Bookman Old Style" w:hAnsi="Bookman Old Style"/>
          <w:color w:val="000000"/>
          <w:spacing w:val="-4"/>
          <w:sz w:val="27"/>
          <w:szCs w:val="27"/>
          <w:lang w:val="es-ES"/>
        </w:rPr>
        <w:t>s</w:t>
      </w:r>
      <w:r w:rsidR="00FC6149" w:rsidRPr="00D06CB8">
        <w:rPr>
          <w:rFonts w:ascii="Bookman Old Style" w:hAnsi="Bookman Old Style"/>
          <w:color w:val="000000"/>
          <w:spacing w:val="-4"/>
          <w:sz w:val="27"/>
          <w:szCs w:val="27"/>
          <w:lang w:val="es-ES"/>
        </w:rPr>
        <w:t xml:space="preserve"> </w:t>
      </w:r>
      <w:r w:rsidRPr="00D06CB8">
        <w:rPr>
          <w:rFonts w:ascii="Bookman Old Style" w:hAnsi="Bookman Old Style"/>
          <w:color w:val="000000"/>
          <w:spacing w:val="-4"/>
          <w:sz w:val="27"/>
          <w:szCs w:val="27"/>
          <w:lang w:val="es-ES"/>
        </w:rPr>
        <w:t xml:space="preserve">penas de </w:t>
      </w:r>
      <w:r w:rsidR="00737F95" w:rsidRPr="00D06CB8">
        <w:rPr>
          <w:rFonts w:ascii="Bookman Old Style" w:hAnsi="Bookman Old Style"/>
          <w:color w:val="000000"/>
          <w:spacing w:val="-4"/>
          <w:sz w:val="27"/>
          <w:szCs w:val="27"/>
          <w:lang w:val="es-ES"/>
        </w:rPr>
        <w:t xml:space="preserve">48 meses de prisión y multa de 66.66 smlmv. </w:t>
      </w:r>
    </w:p>
    <w:p w14:paraId="5E536230" w14:textId="77777777" w:rsidR="00453C8A" w:rsidRPr="00D06CB8" w:rsidRDefault="00453C8A" w:rsidP="0056217D">
      <w:pPr>
        <w:pStyle w:val="Prrafodelista"/>
        <w:spacing w:after="0" w:line="360" w:lineRule="auto"/>
        <w:ind w:left="0" w:firstLine="567"/>
        <w:rPr>
          <w:rFonts w:ascii="Bookman Old Style" w:hAnsi="Bookman Old Style"/>
          <w:color w:val="000000"/>
          <w:spacing w:val="-4"/>
          <w:sz w:val="27"/>
          <w:szCs w:val="27"/>
        </w:rPr>
      </w:pPr>
    </w:p>
    <w:p w14:paraId="03EE7B22" w14:textId="584F5EB5" w:rsidR="00A24754" w:rsidRPr="00D06CB8" w:rsidRDefault="00737F95" w:rsidP="6F994DCF">
      <w:pPr>
        <w:pStyle w:val="Textoindependiente"/>
        <w:spacing w:after="0" w:line="360" w:lineRule="auto"/>
        <w:ind w:right="48" w:firstLine="567"/>
        <w:jc w:val="both"/>
        <w:rPr>
          <w:rFonts w:ascii="Bookman Old Style" w:hAnsi="Bookman Old Style"/>
          <w:color w:val="000000"/>
          <w:spacing w:val="-4"/>
          <w:sz w:val="27"/>
          <w:szCs w:val="27"/>
          <w:lang w:val="es-ES"/>
        </w:rPr>
      </w:pPr>
      <w:r w:rsidRPr="00D06CB8">
        <w:rPr>
          <w:rFonts w:ascii="Bookman Old Style" w:hAnsi="Bookman Old Style"/>
          <w:color w:val="000000"/>
          <w:spacing w:val="-4"/>
          <w:sz w:val="27"/>
          <w:szCs w:val="27"/>
          <w:lang w:val="es-ES"/>
        </w:rPr>
        <w:t xml:space="preserve">Igualmente les </w:t>
      </w:r>
      <w:r w:rsidR="6001E7F7" w:rsidRPr="00D06CB8">
        <w:rPr>
          <w:rFonts w:ascii="Bookman Old Style" w:hAnsi="Bookman Old Style"/>
          <w:color w:val="000000"/>
          <w:spacing w:val="-4"/>
          <w:sz w:val="27"/>
          <w:szCs w:val="27"/>
          <w:lang w:val="es-ES"/>
        </w:rPr>
        <w:t xml:space="preserve">impuso </w:t>
      </w:r>
      <w:r w:rsidRPr="00D06CB8">
        <w:rPr>
          <w:rFonts w:ascii="Bookman Old Style" w:hAnsi="Bookman Old Style"/>
          <w:color w:val="000000"/>
          <w:spacing w:val="-4"/>
          <w:sz w:val="27"/>
          <w:szCs w:val="27"/>
          <w:lang w:val="es-ES"/>
        </w:rPr>
        <w:t>la inhabilitación para el ejercicio de derechos y funciones públicas por un lapso igual al de la pena privativa de la libertad. Les concedió la suspensión condicional de la ejecución de la pena por un per</w:t>
      </w:r>
      <w:r w:rsidR="00453C8A" w:rsidRPr="00D06CB8">
        <w:rPr>
          <w:rFonts w:ascii="Bookman Old Style" w:hAnsi="Bookman Old Style"/>
          <w:color w:val="000000"/>
          <w:spacing w:val="-4"/>
          <w:sz w:val="27"/>
          <w:szCs w:val="27"/>
          <w:lang w:val="es-ES"/>
        </w:rPr>
        <w:t>í</w:t>
      </w:r>
      <w:r w:rsidRPr="00D06CB8">
        <w:rPr>
          <w:rFonts w:ascii="Bookman Old Style" w:hAnsi="Bookman Old Style"/>
          <w:color w:val="000000"/>
          <w:spacing w:val="-4"/>
          <w:sz w:val="27"/>
          <w:szCs w:val="27"/>
          <w:lang w:val="es-ES"/>
        </w:rPr>
        <w:t>odo de dos años</w:t>
      </w:r>
      <w:r w:rsidR="00453C8A" w:rsidRPr="00D06CB8">
        <w:rPr>
          <w:rFonts w:ascii="Bookman Old Style" w:hAnsi="Bookman Old Style"/>
          <w:color w:val="000000"/>
          <w:spacing w:val="-4"/>
          <w:sz w:val="27"/>
          <w:szCs w:val="27"/>
          <w:lang w:val="es-ES"/>
        </w:rPr>
        <w:t xml:space="preserve">. En materia de restablecimiento del derecho, ordenó que cesaran de forma inmediata y definitiva la invasión, suspendieran toda actividad </w:t>
      </w:r>
      <w:r w:rsidR="00453C8A" w:rsidRPr="00D06CB8">
        <w:rPr>
          <w:rFonts w:ascii="Bookman Old Style" w:hAnsi="Bookman Old Style"/>
          <w:color w:val="000000"/>
          <w:spacing w:val="-4"/>
          <w:sz w:val="27"/>
          <w:szCs w:val="27"/>
          <w:lang w:val="es-ES"/>
        </w:rPr>
        <w:lastRenderedPageBreak/>
        <w:t>agropecuaria y de pastoreo en las áreas ocupadas, levantaran los cercos o barreras y se abstuvieran de transitar por “Las Mercedes” sin autorización de la propietaria</w:t>
      </w:r>
      <w:r w:rsidR="00005EF9" w:rsidRPr="00D06CB8">
        <w:rPr>
          <w:rStyle w:val="Refdenotaalpie"/>
          <w:rFonts w:ascii="Bookman Old Style" w:hAnsi="Bookman Old Style"/>
          <w:color w:val="000000"/>
          <w:spacing w:val="-4"/>
          <w:sz w:val="27"/>
          <w:szCs w:val="27"/>
          <w:lang w:val="es-ES"/>
        </w:rPr>
        <w:footnoteReference w:id="8"/>
      </w:r>
      <w:r w:rsidR="00C033B4" w:rsidRPr="00D06CB8">
        <w:rPr>
          <w:rFonts w:ascii="Bookman Old Style" w:hAnsi="Bookman Old Style"/>
          <w:color w:val="000000"/>
          <w:spacing w:val="-4"/>
          <w:sz w:val="27"/>
          <w:szCs w:val="27"/>
          <w:lang w:val="es-ES"/>
        </w:rPr>
        <w:t xml:space="preserve">. </w:t>
      </w:r>
    </w:p>
    <w:p w14:paraId="26BD9948" w14:textId="77777777" w:rsidR="00737F95" w:rsidRPr="00D06CB8" w:rsidRDefault="00737F95" w:rsidP="0060500E">
      <w:pPr>
        <w:pStyle w:val="Textoindependiente"/>
        <w:spacing w:after="0" w:line="360" w:lineRule="auto"/>
        <w:ind w:right="48" w:firstLine="567"/>
        <w:jc w:val="both"/>
        <w:rPr>
          <w:rFonts w:ascii="Bookman Old Style" w:hAnsi="Bookman Old Style"/>
          <w:color w:val="000000"/>
          <w:spacing w:val="-4"/>
          <w:sz w:val="27"/>
          <w:szCs w:val="27"/>
        </w:rPr>
      </w:pPr>
    </w:p>
    <w:p w14:paraId="4EB20980" w14:textId="0EF5EFC0" w:rsidR="007D0445" w:rsidRPr="00D06CB8" w:rsidRDefault="006D508B" w:rsidP="0060500E">
      <w:pPr>
        <w:pStyle w:val="Textoindependiente"/>
        <w:spacing w:after="0" w:line="360" w:lineRule="auto"/>
        <w:ind w:right="48" w:firstLine="567"/>
        <w:jc w:val="both"/>
        <w:rPr>
          <w:rFonts w:ascii="Bookman Old Style" w:hAnsi="Bookman Old Style"/>
          <w:spacing w:val="-4"/>
          <w:sz w:val="27"/>
          <w:szCs w:val="27"/>
          <w:lang w:eastAsia="es-ES"/>
        </w:rPr>
      </w:pPr>
      <w:r w:rsidRPr="00D06CB8">
        <w:rPr>
          <w:rFonts w:ascii="Bookman Old Style" w:hAnsi="Bookman Old Style"/>
          <w:spacing w:val="-4"/>
          <w:sz w:val="27"/>
          <w:szCs w:val="27"/>
        </w:rPr>
        <w:t>6</w:t>
      </w:r>
      <w:r w:rsidR="009236CA" w:rsidRPr="00D06CB8">
        <w:rPr>
          <w:rFonts w:ascii="Bookman Old Style" w:hAnsi="Bookman Old Style"/>
          <w:spacing w:val="-4"/>
          <w:sz w:val="27"/>
          <w:szCs w:val="27"/>
        </w:rPr>
        <w:t xml:space="preserve">. </w:t>
      </w:r>
      <w:r w:rsidR="009236CA" w:rsidRPr="00D06CB8">
        <w:rPr>
          <w:rFonts w:ascii="Bookman Old Style" w:hAnsi="Bookman Old Style"/>
          <w:spacing w:val="-4"/>
          <w:sz w:val="27"/>
          <w:szCs w:val="27"/>
          <w:lang w:eastAsia="es-ES"/>
        </w:rPr>
        <w:t xml:space="preserve">El </w:t>
      </w:r>
      <w:r w:rsidR="00737F95" w:rsidRPr="00D06CB8">
        <w:rPr>
          <w:rFonts w:ascii="Bookman Old Style" w:hAnsi="Bookman Old Style"/>
          <w:spacing w:val="-4"/>
          <w:sz w:val="27"/>
          <w:szCs w:val="27"/>
          <w:lang w:eastAsia="es-ES"/>
        </w:rPr>
        <w:t>12</w:t>
      </w:r>
      <w:r w:rsidR="00F33444" w:rsidRPr="00D06CB8">
        <w:rPr>
          <w:rFonts w:ascii="Bookman Old Style" w:hAnsi="Bookman Old Style"/>
          <w:spacing w:val="-4"/>
          <w:sz w:val="27"/>
          <w:szCs w:val="27"/>
          <w:lang w:eastAsia="es-ES"/>
        </w:rPr>
        <w:t xml:space="preserve"> de </w:t>
      </w:r>
      <w:r w:rsidR="00737F95" w:rsidRPr="00D06CB8">
        <w:rPr>
          <w:rFonts w:ascii="Bookman Old Style" w:hAnsi="Bookman Old Style"/>
          <w:spacing w:val="-4"/>
          <w:sz w:val="27"/>
          <w:szCs w:val="27"/>
          <w:lang w:eastAsia="es-ES"/>
        </w:rPr>
        <w:t>mayo</w:t>
      </w:r>
      <w:r w:rsidR="009236CA" w:rsidRPr="00D06CB8">
        <w:rPr>
          <w:rFonts w:ascii="Bookman Old Style" w:hAnsi="Bookman Old Style"/>
          <w:spacing w:val="-4"/>
          <w:sz w:val="27"/>
          <w:szCs w:val="27"/>
          <w:lang w:eastAsia="es-ES"/>
        </w:rPr>
        <w:t xml:space="preserve"> </w:t>
      </w:r>
      <w:r w:rsidR="00F33444" w:rsidRPr="00D06CB8">
        <w:rPr>
          <w:rFonts w:ascii="Bookman Old Style" w:hAnsi="Bookman Old Style"/>
          <w:spacing w:val="-4"/>
          <w:sz w:val="27"/>
          <w:szCs w:val="27"/>
          <w:lang w:eastAsia="es-ES"/>
        </w:rPr>
        <w:t>de 202</w:t>
      </w:r>
      <w:r w:rsidR="00737F95" w:rsidRPr="00D06CB8">
        <w:rPr>
          <w:rFonts w:ascii="Bookman Old Style" w:hAnsi="Bookman Old Style"/>
          <w:spacing w:val="-4"/>
          <w:sz w:val="27"/>
          <w:szCs w:val="27"/>
          <w:lang w:eastAsia="es-ES"/>
        </w:rPr>
        <w:t>2</w:t>
      </w:r>
      <w:r w:rsidR="009236CA" w:rsidRPr="00D06CB8">
        <w:rPr>
          <w:rFonts w:ascii="Bookman Old Style" w:hAnsi="Bookman Old Style"/>
          <w:spacing w:val="-4"/>
          <w:sz w:val="27"/>
          <w:szCs w:val="27"/>
          <w:lang w:eastAsia="es-ES"/>
        </w:rPr>
        <w:t xml:space="preserve">, la defensa </w:t>
      </w:r>
      <w:r w:rsidR="00F33444" w:rsidRPr="00D06CB8">
        <w:rPr>
          <w:rFonts w:ascii="Bookman Old Style" w:hAnsi="Bookman Old Style"/>
          <w:spacing w:val="-4"/>
          <w:sz w:val="27"/>
          <w:szCs w:val="27"/>
          <w:lang w:eastAsia="es-ES"/>
        </w:rPr>
        <w:t>i</w:t>
      </w:r>
      <w:r w:rsidR="009236CA" w:rsidRPr="00D06CB8">
        <w:rPr>
          <w:rFonts w:ascii="Bookman Old Style" w:hAnsi="Bookman Old Style"/>
          <w:spacing w:val="-4"/>
          <w:sz w:val="27"/>
          <w:szCs w:val="27"/>
          <w:lang w:eastAsia="es-ES"/>
        </w:rPr>
        <w:t>nterpuso recurso de impugnación especial</w:t>
      </w:r>
      <w:r w:rsidR="00F33444" w:rsidRPr="00D06CB8">
        <w:rPr>
          <w:rFonts w:ascii="Bookman Old Style" w:hAnsi="Bookman Old Style"/>
          <w:spacing w:val="-4"/>
          <w:sz w:val="27"/>
          <w:szCs w:val="27"/>
          <w:lang w:eastAsia="es-ES"/>
        </w:rPr>
        <w:t>, el cual sustentó</w:t>
      </w:r>
      <w:r w:rsidR="00BB186D" w:rsidRPr="00D06CB8">
        <w:rPr>
          <w:rFonts w:ascii="Bookman Old Style" w:hAnsi="Bookman Old Style"/>
          <w:spacing w:val="-4"/>
          <w:sz w:val="27"/>
          <w:szCs w:val="27"/>
          <w:lang w:eastAsia="es-ES"/>
        </w:rPr>
        <w:t xml:space="preserve"> en el plazo establecido</w:t>
      </w:r>
      <w:r w:rsidR="00F33444" w:rsidRPr="00D06CB8">
        <w:rPr>
          <w:rFonts w:ascii="Bookman Old Style" w:hAnsi="Bookman Old Style"/>
          <w:spacing w:val="-4"/>
          <w:sz w:val="27"/>
          <w:szCs w:val="27"/>
          <w:lang w:eastAsia="es-ES"/>
        </w:rPr>
        <w:t xml:space="preserve">. </w:t>
      </w:r>
      <w:r w:rsidR="0022319A" w:rsidRPr="00D06CB8">
        <w:rPr>
          <w:rFonts w:ascii="Bookman Old Style" w:hAnsi="Bookman Old Style"/>
          <w:spacing w:val="-4"/>
          <w:sz w:val="27"/>
          <w:szCs w:val="27"/>
          <w:lang w:eastAsia="es-ES"/>
        </w:rPr>
        <w:t>El Tribunal corrió traslado a los no recurrentes</w:t>
      </w:r>
      <w:r w:rsidR="008E77A7" w:rsidRPr="00D06CB8">
        <w:rPr>
          <w:rFonts w:ascii="Bookman Old Style" w:hAnsi="Bookman Old Style"/>
          <w:spacing w:val="-4"/>
          <w:sz w:val="27"/>
          <w:szCs w:val="27"/>
          <w:lang w:eastAsia="es-ES"/>
        </w:rPr>
        <w:t>. E</w:t>
      </w:r>
      <w:r w:rsidR="00737F95" w:rsidRPr="00D06CB8">
        <w:rPr>
          <w:rFonts w:ascii="Bookman Old Style" w:hAnsi="Bookman Old Style"/>
          <w:spacing w:val="-4"/>
          <w:sz w:val="27"/>
          <w:szCs w:val="27"/>
          <w:lang w:eastAsia="es-ES"/>
        </w:rPr>
        <w:t>l apoderado de la víctima</w:t>
      </w:r>
      <w:r w:rsidR="008E77A7" w:rsidRPr="00D06CB8">
        <w:rPr>
          <w:rFonts w:ascii="Bookman Old Style" w:hAnsi="Bookman Old Style"/>
          <w:spacing w:val="-4"/>
          <w:sz w:val="27"/>
          <w:szCs w:val="27"/>
          <w:lang w:eastAsia="es-ES"/>
        </w:rPr>
        <w:t xml:space="preserve"> intervino en ese sentido</w:t>
      </w:r>
      <w:r w:rsidR="00737F95" w:rsidRPr="00D06CB8">
        <w:rPr>
          <w:rFonts w:ascii="Bookman Old Style" w:hAnsi="Bookman Old Style"/>
          <w:spacing w:val="-4"/>
          <w:sz w:val="27"/>
          <w:szCs w:val="27"/>
          <w:lang w:eastAsia="es-ES"/>
        </w:rPr>
        <w:t>.</w:t>
      </w:r>
    </w:p>
    <w:p w14:paraId="29CDA399" w14:textId="77777777" w:rsidR="007D0445" w:rsidRPr="00D06CB8" w:rsidRDefault="007D0445" w:rsidP="0060500E">
      <w:pPr>
        <w:pStyle w:val="Textoindependiente"/>
        <w:spacing w:after="0" w:line="360" w:lineRule="auto"/>
        <w:ind w:right="48" w:firstLine="567"/>
        <w:jc w:val="both"/>
        <w:rPr>
          <w:rFonts w:ascii="Bookman Old Style" w:hAnsi="Bookman Old Style"/>
          <w:spacing w:val="-4"/>
          <w:sz w:val="27"/>
          <w:szCs w:val="27"/>
          <w:lang w:eastAsia="es-ES"/>
        </w:rPr>
      </w:pPr>
    </w:p>
    <w:p w14:paraId="7644DC77" w14:textId="432009A5" w:rsidR="009236CA" w:rsidRPr="00D06CB8" w:rsidRDefault="006D508B" w:rsidP="0060500E">
      <w:pPr>
        <w:pStyle w:val="Textoindependiente"/>
        <w:spacing w:after="0" w:line="360" w:lineRule="auto"/>
        <w:ind w:right="48" w:firstLine="567"/>
        <w:jc w:val="both"/>
        <w:rPr>
          <w:rFonts w:ascii="Bookman Old Style" w:hAnsi="Bookman Old Style"/>
          <w:color w:val="000000"/>
          <w:spacing w:val="-3"/>
          <w:sz w:val="27"/>
          <w:szCs w:val="27"/>
        </w:rPr>
      </w:pPr>
      <w:r w:rsidRPr="00D06CB8">
        <w:rPr>
          <w:rFonts w:ascii="Bookman Old Style" w:hAnsi="Bookman Old Style"/>
          <w:spacing w:val="-4"/>
          <w:sz w:val="27"/>
          <w:szCs w:val="27"/>
          <w:lang w:eastAsia="es-ES"/>
        </w:rPr>
        <w:t>7</w:t>
      </w:r>
      <w:r w:rsidR="009236CA" w:rsidRPr="00D06CB8">
        <w:rPr>
          <w:rFonts w:ascii="Bookman Old Style" w:hAnsi="Bookman Old Style"/>
          <w:spacing w:val="-4"/>
          <w:sz w:val="27"/>
          <w:szCs w:val="27"/>
          <w:lang w:eastAsia="es-ES"/>
        </w:rPr>
        <w:t xml:space="preserve">. El </w:t>
      </w:r>
      <w:r w:rsidR="00737F95" w:rsidRPr="00D06CB8">
        <w:rPr>
          <w:rFonts w:ascii="Bookman Old Style" w:hAnsi="Bookman Old Style"/>
          <w:spacing w:val="-4"/>
          <w:sz w:val="27"/>
          <w:szCs w:val="27"/>
          <w:lang w:eastAsia="es-ES"/>
        </w:rPr>
        <w:t>18</w:t>
      </w:r>
      <w:r w:rsidR="00F33444" w:rsidRPr="00D06CB8">
        <w:rPr>
          <w:rFonts w:ascii="Bookman Old Style" w:hAnsi="Bookman Old Style"/>
          <w:spacing w:val="-4"/>
          <w:sz w:val="27"/>
          <w:szCs w:val="27"/>
          <w:lang w:eastAsia="es-ES"/>
        </w:rPr>
        <w:t xml:space="preserve"> de </w:t>
      </w:r>
      <w:r w:rsidR="00737F95" w:rsidRPr="00D06CB8">
        <w:rPr>
          <w:rFonts w:ascii="Bookman Old Style" w:hAnsi="Bookman Old Style"/>
          <w:spacing w:val="-4"/>
          <w:sz w:val="27"/>
          <w:szCs w:val="27"/>
          <w:lang w:eastAsia="es-ES"/>
        </w:rPr>
        <w:t>diciembre</w:t>
      </w:r>
      <w:r w:rsidR="00F33444" w:rsidRPr="00D06CB8">
        <w:rPr>
          <w:rFonts w:ascii="Bookman Old Style" w:hAnsi="Bookman Old Style"/>
          <w:spacing w:val="-4"/>
          <w:sz w:val="27"/>
          <w:szCs w:val="27"/>
          <w:lang w:eastAsia="es-ES"/>
        </w:rPr>
        <w:t xml:space="preserve"> de 202</w:t>
      </w:r>
      <w:r w:rsidR="00737F95" w:rsidRPr="00D06CB8">
        <w:rPr>
          <w:rFonts w:ascii="Bookman Old Style" w:hAnsi="Bookman Old Style"/>
          <w:spacing w:val="-4"/>
          <w:sz w:val="27"/>
          <w:szCs w:val="27"/>
          <w:lang w:eastAsia="es-ES"/>
        </w:rPr>
        <w:t>3</w:t>
      </w:r>
      <w:r w:rsidR="009236CA" w:rsidRPr="00D06CB8">
        <w:rPr>
          <w:rFonts w:ascii="Bookman Old Style" w:hAnsi="Bookman Old Style"/>
          <w:spacing w:val="-4"/>
          <w:sz w:val="27"/>
          <w:szCs w:val="27"/>
          <w:lang w:eastAsia="es-ES"/>
        </w:rPr>
        <w:t>, el proceso ingresó al despacho por reparto.</w:t>
      </w:r>
    </w:p>
    <w:p w14:paraId="446FB8CB" w14:textId="77777777" w:rsidR="00AE3C4D" w:rsidRPr="00D06CB8" w:rsidRDefault="00AE3C4D" w:rsidP="0060500E">
      <w:pPr>
        <w:spacing w:after="0" w:line="360" w:lineRule="auto"/>
        <w:ind w:right="48" w:firstLine="567"/>
        <w:jc w:val="both"/>
        <w:rPr>
          <w:rFonts w:ascii="Bookman Old Style" w:hAnsi="Bookman Old Style"/>
          <w:color w:val="000000"/>
          <w:spacing w:val="-4"/>
          <w:sz w:val="27"/>
          <w:szCs w:val="27"/>
        </w:rPr>
      </w:pPr>
    </w:p>
    <w:p w14:paraId="5FBC0D73" w14:textId="2A99024E" w:rsidR="009236CA" w:rsidRPr="00D06CB8" w:rsidRDefault="009236CA" w:rsidP="0056217D">
      <w:pPr>
        <w:widowControl w:val="0"/>
        <w:tabs>
          <w:tab w:val="left" w:pos="1134"/>
        </w:tabs>
        <w:spacing w:after="0" w:line="360" w:lineRule="auto"/>
        <w:ind w:firstLine="567"/>
        <w:jc w:val="center"/>
        <w:rPr>
          <w:rFonts w:ascii="Bookman Old Style" w:hAnsi="Bookman Old Style"/>
          <w:b/>
          <w:sz w:val="27"/>
          <w:szCs w:val="27"/>
        </w:rPr>
      </w:pPr>
      <w:r w:rsidRPr="00D06CB8">
        <w:rPr>
          <w:rFonts w:ascii="Bookman Old Style" w:hAnsi="Bookman Old Style"/>
          <w:b/>
          <w:sz w:val="27"/>
          <w:szCs w:val="27"/>
        </w:rPr>
        <w:t>IV. FUNDAMENTOS DE LAS SENTENCIAS DE INSTANCIA</w:t>
      </w:r>
    </w:p>
    <w:p w14:paraId="4C5CD4D6" w14:textId="77777777" w:rsidR="009236CA" w:rsidRPr="00D06CB8" w:rsidRDefault="009236CA" w:rsidP="0056217D">
      <w:pPr>
        <w:widowControl w:val="0"/>
        <w:tabs>
          <w:tab w:val="left" w:pos="1134"/>
        </w:tabs>
        <w:spacing w:after="0" w:line="360" w:lineRule="auto"/>
        <w:ind w:firstLine="567"/>
        <w:jc w:val="center"/>
        <w:rPr>
          <w:rFonts w:ascii="Bookman Old Style" w:hAnsi="Bookman Old Style"/>
          <w:b/>
          <w:sz w:val="27"/>
          <w:szCs w:val="27"/>
        </w:rPr>
      </w:pPr>
    </w:p>
    <w:p w14:paraId="205DEA57" w14:textId="77777777" w:rsidR="009236CA" w:rsidRPr="00D06CB8" w:rsidRDefault="009236CA" w:rsidP="0056217D">
      <w:pPr>
        <w:pStyle w:val="Prrafodelista"/>
        <w:widowControl w:val="0"/>
        <w:numPr>
          <w:ilvl w:val="0"/>
          <w:numId w:val="2"/>
        </w:numPr>
        <w:tabs>
          <w:tab w:val="left" w:pos="1134"/>
        </w:tabs>
        <w:spacing w:after="0" w:line="360" w:lineRule="auto"/>
        <w:ind w:left="0" w:firstLine="567"/>
        <w:rPr>
          <w:rFonts w:ascii="Bookman Old Style" w:hAnsi="Bookman Old Style"/>
          <w:b/>
          <w:bCs/>
          <w:sz w:val="27"/>
          <w:szCs w:val="27"/>
        </w:rPr>
      </w:pPr>
      <w:r w:rsidRPr="00D06CB8">
        <w:rPr>
          <w:rFonts w:ascii="Bookman Old Style" w:hAnsi="Bookman Old Style"/>
          <w:b/>
          <w:bCs/>
          <w:sz w:val="27"/>
          <w:szCs w:val="27"/>
        </w:rPr>
        <w:t>La sentencia de primera instancia</w:t>
      </w:r>
    </w:p>
    <w:p w14:paraId="4DF3C1DA" w14:textId="77777777" w:rsidR="009236CA" w:rsidRPr="00D06CB8" w:rsidRDefault="009236CA" w:rsidP="0056217D">
      <w:pPr>
        <w:pStyle w:val="Prrafodelista"/>
        <w:widowControl w:val="0"/>
        <w:tabs>
          <w:tab w:val="left" w:pos="1134"/>
        </w:tabs>
        <w:spacing w:after="0" w:line="360" w:lineRule="auto"/>
        <w:ind w:left="0" w:firstLine="567"/>
        <w:rPr>
          <w:rFonts w:ascii="Bookman Old Style" w:hAnsi="Bookman Old Style"/>
          <w:b/>
          <w:bCs/>
          <w:sz w:val="27"/>
          <w:szCs w:val="27"/>
        </w:rPr>
      </w:pPr>
    </w:p>
    <w:p w14:paraId="1B60B585" w14:textId="64613605" w:rsidR="009236CA" w:rsidRPr="00D06CB8" w:rsidRDefault="009236CA" w:rsidP="0056217D">
      <w:pPr>
        <w:spacing w:after="0" w:line="360" w:lineRule="auto"/>
        <w:ind w:firstLine="567"/>
        <w:jc w:val="both"/>
        <w:rPr>
          <w:rFonts w:ascii="Bookman Old Style" w:eastAsia="Bookman Old Style" w:hAnsi="Bookman Old Style" w:cs="Bookman Old Style"/>
          <w:sz w:val="27"/>
          <w:szCs w:val="27"/>
        </w:rPr>
      </w:pPr>
      <w:r w:rsidRPr="00D06CB8">
        <w:rPr>
          <w:rFonts w:ascii="Bookman Old Style" w:eastAsia="Bookman Old Style" w:hAnsi="Bookman Old Style" w:cs="Bookman Old Style"/>
          <w:sz w:val="27"/>
          <w:szCs w:val="27"/>
        </w:rPr>
        <w:t xml:space="preserve">El Juzgado </w:t>
      </w:r>
      <w:r w:rsidR="00AE3C4D" w:rsidRPr="00D06CB8">
        <w:rPr>
          <w:rFonts w:ascii="Bookman Old Style" w:hAnsi="Bookman Old Style"/>
          <w:color w:val="000000"/>
          <w:spacing w:val="-3"/>
          <w:sz w:val="27"/>
          <w:szCs w:val="27"/>
        </w:rPr>
        <w:t>Primero Promiscuo Municipal de Purificación</w:t>
      </w:r>
      <w:r w:rsidR="00AE3C4D" w:rsidRPr="00D06CB8">
        <w:rPr>
          <w:rFonts w:ascii="Bookman Old Style" w:eastAsia="Bookman Old Style" w:hAnsi="Bookman Old Style" w:cs="Bookman Old Style"/>
          <w:sz w:val="27"/>
          <w:szCs w:val="27"/>
        </w:rPr>
        <w:t xml:space="preserve"> </w:t>
      </w:r>
      <w:r w:rsidRPr="00D06CB8">
        <w:rPr>
          <w:rFonts w:ascii="Bookman Old Style" w:eastAsia="Bookman Old Style" w:hAnsi="Bookman Old Style" w:cs="Bookman Old Style"/>
          <w:sz w:val="27"/>
          <w:szCs w:val="27"/>
        </w:rPr>
        <w:t xml:space="preserve">absolvió a </w:t>
      </w:r>
      <w:r w:rsidR="00AE3C4D" w:rsidRPr="00D06CB8">
        <w:rPr>
          <w:rFonts w:ascii="Bookman Old Style" w:eastAsia="Bookman Old Style" w:hAnsi="Bookman Old Style" w:cs="Bookman Old Style"/>
          <w:sz w:val="27"/>
          <w:szCs w:val="27"/>
        </w:rPr>
        <w:t>los procesados</w:t>
      </w:r>
      <w:r w:rsidR="00D12A85" w:rsidRPr="00D06CB8">
        <w:rPr>
          <w:rFonts w:ascii="Bookman Old Style" w:hAnsi="Bookman Old Style"/>
          <w:bCs/>
          <w:color w:val="000000"/>
          <w:spacing w:val="-3"/>
          <w:sz w:val="27"/>
          <w:szCs w:val="27"/>
        </w:rPr>
        <w:t xml:space="preserve">, </w:t>
      </w:r>
      <w:r w:rsidRPr="00D06CB8">
        <w:rPr>
          <w:rFonts w:ascii="Bookman Old Style" w:eastAsia="Bookman Old Style" w:hAnsi="Bookman Old Style" w:cs="Bookman Old Style"/>
          <w:sz w:val="27"/>
          <w:szCs w:val="27"/>
        </w:rPr>
        <w:t xml:space="preserve">con </w:t>
      </w:r>
      <w:r w:rsidR="00584352" w:rsidRPr="00D06CB8">
        <w:rPr>
          <w:rFonts w:ascii="Bookman Old Style" w:eastAsia="Bookman Old Style" w:hAnsi="Bookman Old Style" w:cs="Bookman Old Style"/>
          <w:sz w:val="27"/>
          <w:szCs w:val="27"/>
        </w:rPr>
        <w:t xml:space="preserve">fundamento </w:t>
      </w:r>
      <w:r w:rsidRPr="00D06CB8">
        <w:rPr>
          <w:rFonts w:ascii="Bookman Old Style" w:eastAsia="Bookman Old Style" w:hAnsi="Bookman Old Style" w:cs="Bookman Old Style"/>
          <w:sz w:val="27"/>
          <w:szCs w:val="27"/>
        </w:rPr>
        <w:t>en las siguientes consideraciones:</w:t>
      </w:r>
    </w:p>
    <w:p w14:paraId="68206351" w14:textId="77777777" w:rsidR="009236CA" w:rsidRPr="00D06CB8" w:rsidRDefault="009236CA" w:rsidP="0056217D">
      <w:pPr>
        <w:spacing w:after="0" w:line="360" w:lineRule="auto"/>
        <w:ind w:firstLine="567"/>
        <w:jc w:val="both"/>
        <w:rPr>
          <w:rFonts w:ascii="Bookman Old Style" w:eastAsia="Bookman Old Style" w:hAnsi="Bookman Old Style" w:cs="Bookman Old Style"/>
          <w:sz w:val="27"/>
          <w:szCs w:val="27"/>
        </w:rPr>
      </w:pPr>
    </w:p>
    <w:p w14:paraId="276A222E" w14:textId="66C652FA" w:rsidR="00C62DD2" w:rsidRPr="00D06CB8" w:rsidRDefault="00C62DD2" w:rsidP="0056217D">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1. </w:t>
      </w:r>
      <w:r w:rsidRPr="00D06CB8">
        <w:rPr>
          <w:rFonts w:ascii="Bookman Old Style" w:eastAsia="Bookman Old Style" w:hAnsi="Bookman Old Style" w:cs="Bookman Old Style"/>
          <w:i/>
          <w:iCs/>
          <w:sz w:val="27"/>
          <w:szCs w:val="27"/>
          <w:lang w:val="es-CO"/>
        </w:rPr>
        <w:t xml:space="preserve">Controversia sobre el terreno materialmente ocupado. </w:t>
      </w:r>
      <w:r w:rsidRPr="00D06CB8">
        <w:rPr>
          <w:rFonts w:ascii="Bookman Old Style" w:eastAsia="Bookman Old Style" w:hAnsi="Bookman Old Style" w:cs="Bookman Old Style"/>
          <w:sz w:val="27"/>
          <w:szCs w:val="27"/>
          <w:lang w:val="es-CO"/>
        </w:rPr>
        <w:t xml:space="preserve">La prueba mostraba que esos terrenos correspondían a la zona inundable del embalse de Hidroprado o, por lo menos, que existía una incertidumbre relevante sobre ese punto. Para sostener esa lectura, valoró los testimonios de descargo, la referencia a la cota 367 y la Resolución 004 del 1º de junio de 2018, a partir de los cuales concluyó que el conflicto no recaía </w:t>
      </w:r>
      <w:r w:rsidRPr="00D06CB8">
        <w:rPr>
          <w:rFonts w:ascii="Bookman Old Style" w:eastAsia="Bookman Old Style" w:hAnsi="Bookman Old Style" w:cs="Bookman Old Style"/>
          <w:sz w:val="27"/>
          <w:szCs w:val="27"/>
          <w:lang w:val="es-CO"/>
        </w:rPr>
        <w:lastRenderedPageBreak/>
        <w:t xml:space="preserve">sobre un ingreso arbitrario indiscutible a la finca </w:t>
      </w:r>
      <w:r w:rsidR="00FC7A5C" w:rsidRPr="00D06CB8">
        <w:rPr>
          <w:rFonts w:ascii="Bookman Old Style" w:eastAsia="Bookman Old Style" w:hAnsi="Bookman Old Style" w:cs="Bookman Old Style"/>
          <w:sz w:val="27"/>
          <w:szCs w:val="27"/>
          <w:lang w:val="es-CO"/>
        </w:rPr>
        <w:t>“</w:t>
      </w:r>
      <w:r w:rsidRPr="00D06CB8">
        <w:rPr>
          <w:rFonts w:ascii="Bookman Old Style" w:eastAsia="Bookman Old Style" w:hAnsi="Bookman Old Style" w:cs="Bookman Old Style"/>
          <w:sz w:val="27"/>
          <w:szCs w:val="27"/>
          <w:lang w:val="es-CO"/>
        </w:rPr>
        <w:t>Las Mercedes</w:t>
      </w:r>
      <w:r w:rsidR="00FC7A5C" w:rsidRPr="00D06CB8">
        <w:rPr>
          <w:rFonts w:ascii="Bookman Old Style" w:eastAsia="Bookman Old Style" w:hAnsi="Bookman Old Style" w:cs="Bookman Old Style"/>
          <w:sz w:val="27"/>
          <w:szCs w:val="27"/>
          <w:lang w:val="es-CO"/>
        </w:rPr>
        <w:t>”</w:t>
      </w:r>
      <w:r w:rsidRPr="00D06CB8">
        <w:rPr>
          <w:rFonts w:ascii="Bookman Old Style" w:eastAsia="Bookman Old Style" w:hAnsi="Bookman Old Style" w:cs="Bookman Old Style"/>
          <w:sz w:val="27"/>
          <w:szCs w:val="27"/>
          <w:lang w:val="es-CO"/>
        </w:rPr>
        <w:t>, sino sobre una franja que los acusados y otros habitantes de la zona identificaban de otra manera.</w:t>
      </w:r>
    </w:p>
    <w:p w14:paraId="2DAE128F" w14:textId="77777777" w:rsidR="00C62DD2" w:rsidRPr="00D06CB8" w:rsidRDefault="00C62DD2" w:rsidP="0056217D">
      <w:pPr>
        <w:spacing w:after="0" w:line="360" w:lineRule="auto"/>
        <w:ind w:firstLine="567"/>
        <w:jc w:val="both"/>
        <w:rPr>
          <w:rFonts w:ascii="Bookman Old Style" w:eastAsia="Bookman Old Style" w:hAnsi="Bookman Old Style" w:cs="Bookman Old Style"/>
          <w:sz w:val="27"/>
          <w:szCs w:val="27"/>
          <w:lang w:val="es-CO"/>
        </w:rPr>
      </w:pPr>
    </w:p>
    <w:p w14:paraId="0A0AB53F" w14:textId="7DBA4031" w:rsidR="00C62DD2" w:rsidRPr="00D06CB8" w:rsidRDefault="00C62DD2" w:rsidP="0056217D">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2. </w:t>
      </w:r>
      <w:r w:rsidRPr="00D06CB8">
        <w:rPr>
          <w:rFonts w:ascii="Bookman Old Style" w:eastAsia="Bookman Old Style" w:hAnsi="Bookman Old Style" w:cs="Bookman Old Style"/>
          <w:i/>
          <w:iCs/>
          <w:sz w:val="27"/>
          <w:szCs w:val="27"/>
          <w:lang w:val="es-CO"/>
        </w:rPr>
        <w:t>Ocupación anterior a la entrega material del inmueble y atipicidad frente a la querellante</w:t>
      </w:r>
      <w:r w:rsidRPr="00D06CB8">
        <w:rPr>
          <w:rFonts w:ascii="Bookman Old Style" w:eastAsia="Bookman Old Style" w:hAnsi="Bookman Old Style" w:cs="Bookman Old Style"/>
          <w:sz w:val="27"/>
          <w:szCs w:val="27"/>
          <w:lang w:val="es-CO"/>
        </w:rPr>
        <w:t xml:space="preserve">. El </w:t>
      </w:r>
      <w:r w:rsidR="007F0943" w:rsidRPr="00D06CB8">
        <w:rPr>
          <w:rFonts w:ascii="Bookman Old Style" w:eastAsia="Bookman Old Style" w:hAnsi="Bookman Old Style" w:cs="Bookman Old Style"/>
          <w:sz w:val="27"/>
          <w:szCs w:val="27"/>
          <w:lang w:val="es-CO"/>
        </w:rPr>
        <w:t>J</w:t>
      </w:r>
      <w:r w:rsidRPr="00D06CB8">
        <w:rPr>
          <w:rFonts w:ascii="Bookman Old Style" w:eastAsia="Bookman Old Style" w:hAnsi="Bookman Old Style" w:cs="Bookman Old Style"/>
          <w:sz w:val="27"/>
          <w:szCs w:val="27"/>
          <w:lang w:val="es-CO"/>
        </w:rPr>
        <w:t xml:space="preserve">uzgado otorgó especial importancia al acta de entrega del 31 de enero de 2014 y al hecho de que, para esa fecha, los acusados ya estaban en los terrenos en discusión, cultivaban allí y anunciaban oposición. Con base en ello, sostuvo que la ocupación antecedía a la consolidación material del derecho de Martha Lucía Montiel Morales sobre la finca y que, por esa sola razón, no podía predicarse la invasión respecto de ella. De esta forma, el </w:t>
      </w:r>
      <w:r w:rsidR="00BD1D61" w:rsidRPr="00D06CB8">
        <w:rPr>
          <w:rFonts w:ascii="Bookman Old Style" w:eastAsia="Bookman Old Style" w:hAnsi="Bookman Old Style" w:cs="Bookman Old Style"/>
          <w:sz w:val="27"/>
          <w:szCs w:val="27"/>
          <w:lang w:val="es-CO"/>
        </w:rPr>
        <w:t>J</w:t>
      </w:r>
      <w:r w:rsidRPr="00D06CB8">
        <w:rPr>
          <w:rFonts w:ascii="Bookman Old Style" w:eastAsia="Bookman Old Style" w:hAnsi="Bookman Old Style" w:cs="Bookman Old Style"/>
          <w:sz w:val="27"/>
          <w:szCs w:val="27"/>
          <w:lang w:val="es-CO"/>
        </w:rPr>
        <w:t>uzgado concluyó que, por ello, la conducta endilgada a los acusados e</w:t>
      </w:r>
      <w:r w:rsidR="007F0943" w:rsidRPr="00D06CB8">
        <w:rPr>
          <w:rFonts w:ascii="Bookman Old Style" w:eastAsia="Bookman Old Style" w:hAnsi="Bookman Old Style" w:cs="Bookman Old Style"/>
          <w:sz w:val="27"/>
          <w:szCs w:val="27"/>
          <w:lang w:val="es-CO"/>
        </w:rPr>
        <w:t>ra</w:t>
      </w:r>
      <w:r w:rsidRPr="00D06CB8">
        <w:rPr>
          <w:rFonts w:ascii="Bookman Old Style" w:eastAsia="Bookman Old Style" w:hAnsi="Bookman Old Style" w:cs="Bookman Old Style"/>
          <w:sz w:val="27"/>
          <w:szCs w:val="27"/>
          <w:lang w:val="es-CO"/>
        </w:rPr>
        <w:t xml:space="preserve"> atípica.</w:t>
      </w:r>
    </w:p>
    <w:p w14:paraId="57D7D554" w14:textId="77777777" w:rsidR="00C62DD2" w:rsidRPr="00D06CB8" w:rsidRDefault="00C62DD2" w:rsidP="0056217D">
      <w:pPr>
        <w:spacing w:after="0" w:line="360" w:lineRule="auto"/>
        <w:ind w:firstLine="567"/>
        <w:jc w:val="both"/>
        <w:rPr>
          <w:rFonts w:ascii="Bookman Old Style" w:eastAsia="Bookman Old Style" w:hAnsi="Bookman Old Style" w:cs="Bookman Old Style"/>
          <w:sz w:val="27"/>
          <w:szCs w:val="27"/>
          <w:lang w:val="es-CO"/>
        </w:rPr>
      </w:pPr>
    </w:p>
    <w:p w14:paraId="0E1FCE23" w14:textId="38F129D1" w:rsidR="00C62DD2" w:rsidRPr="00D06CB8" w:rsidRDefault="00C62DD2" w:rsidP="0056217D">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3. </w:t>
      </w:r>
      <w:r w:rsidRPr="00D06CB8">
        <w:rPr>
          <w:rFonts w:ascii="Bookman Old Style" w:eastAsia="Bookman Old Style" w:hAnsi="Bookman Old Style" w:cs="Bookman Old Style"/>
          <w:i/>
          <w:iCs/>
          <w:sz w:val="27"/>
          <w:szCs w:val="27"/>
          <w:lang w:val="es-CO"/>
        </w:rPr>
        <w:t>Error de tipo sobre la ajenidad del terreno y ausencia de dolo.</w:t>
      </w:r>
      <w:r w:rsidRPr="00D06CB8">
        <w:rPr>
          <w:rFonts w:ascii="Bookman Old Style" w:eastAsia="Bookman Old Style" w:hAnsi="Bookman Old Style" w:cs="Bookman Old Style"/>
          <w:sz w:val="27"/>
          <w:szCs w:val="27"/>
          <w:lang w:val="es-CO"/>
        </w:rPr>
        <w:t xml:space="preserve"> Como fundamento adicional, el despacho afirmó que los acusados </w:t>
      </w:r>
      <w:r w:rsidR="4863071B" w:rsidRPr="00D06CB8">
        <w:rPr>
          <w:rFonts w:ascii="Bookman Old Style" w:eastAsia="Bookman Old Style" w:hAnsi="Bookman Old Style" w:cs="Bookman Old Style"/>
          <w:sz w:val="27"/>
          <w:szCs w:val="27"/>
          <w:lang w:val="es-CO"/>
        </w:rPr>
        <w:t>obraron</w:t>
      </w:r>
      <w:r w:rsidRPr="00D06CB8">
        <w:rPr>
          <w:rFonts w:ascii="Bookman Old Style" w:eastAsia="Bookman Old Style" w:hAnsi="Bookman Old Style" w:cs="Bookman Old Style"/>
          <w:sz w:val="27"/>
          <w:szCs w:val="27"/>
          <w:lang w:val="es-CO"/>
        </w:rPr>
        <w:t xml:space="preserve"> convencidos de que explotaban terrenos inundables de la represa y no áreas pertenecientes a Martha Lucía Montiel Morales. A partir de esa inferencia concluyó que concurría un error de tipo invencible. Sin embargo, agregó que, aun si ese error se entendiera como vencible, también procedía la absolución, porque el delito de invasión de tierras o edificaciones no admite modalidad culposa. En esa misma línea, sostuvo que la Fiscalía no probó el dolo, pues, en su criterio, solo acreditó la propiedad del predio y algunos hechos de ocupación, pero no el conocimiento de la ajenidad del bien ni la voluntad de realizar la conducta típica.</w:t>
      </w:r>
    </w:p>
    <w:p w14:paraId="7533C74A" w14:textId="77777777" w:rsidR="00C62DD2" w:rsidRPr="00D06CB8" w:rsidRDefault="00C62DD2" w:rsidP="0056217D">
      <w:pPr>
        <w:spacing w:after="0" w:line="360" w:lineRule="auto"/>
        <w:ind w:firstLine="567"/>
        <w:jc w:val="both"/>
        <w:rPr>
          <w:rFonts w:ascii="Bookman Old Style" w:eastAsia="Bookman Old Style" w:hAnsi="Bookman Old Style" w:cs="Bookman Old Style"/>
          <w:sz w:val="27"/>
          <w:szCs w:val="27"/>
          <w:lang w:val="es-CO"/>
        </w:rPr>
      </w:pPr>
    </w:p>
    <w:p w14:paraId="628AE5B4" w14:textId="0B94A282" w:rsidR="00C62DD2" w:rsidRPr="00D06CB8" w:rsidRDefault="00C62DD2" w:rsidP="0056217D">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lastRenderedPageBreak/>
        <w:t xml:space="preserve">4. </w:t>
      </w:r>
      <w:r w:rsidRPr="00D06CB8">
        <w:rPr>
          <w:rFonts w:ascii="Bookman Old Style" w:eastAsia="Bookman Old Style" w:hAnsi="Bookman Old Style" w:cs="Bookman Old Style"/>
          <w:i/>
          <w:iCs/>
          <w:sz w:val="27"/>
          <w:szCs w:val="27"/>
          <w:lang w:val="es-CO"/>
        </w:rPr>
        <w:t>Duda probatoria y absolución</w:t>
      </w:r>
      <w:r w:rsidRPr="00D06CB8">
        <w:rPr>
          <w:rFonts w:ascii="Bookman Old Style" w:eastAsia="Bookman Old Style" w:hAnsi="Bookman Old Style" w:cs="Bookman Old Style"/>
          <w:sz w:val="27"/>
          <w:szCs w:val="27"/>
          <w:lang w:val="es-CO"/>
        </w:rPr>
        <w:t>. Finalmente</w:t>
      </w:r>
      <w:r w:rsidR="0077140C" w:rsidRPr="00D06CB8">
        <w:rPr>
          <w:rFonts w:ascii="Bookman Old Style" w:eastAsia="Bookman Old Style" w:hAnsi="Bookman Old Style" w:cs="Bookman Old Style"/>
          <w:sz w:val="27"/>
          <w:szCs w:val="27"/>
          <w:lang w:val="es-CO"/>
        </w:rPr>
        <w:t>,</w:t>
      </w:r>
      <w:r w:rsidRPr="00D06CB8">
        <w:rPr>
          <w:rFonts w:ascii="Bookman Old Style" w:eastAsia="Bookman Old Style" w:hAnsi="Bookman Old Style" w:cs="Bookman Old Style"/>
          <w:sz w:val="27"/>
          <w:szCs w:val="27"/>
          <w:lang w:val="es-CO"/>
        </w:rPr>
        <w:t xml:space="preserve"> consideró que persistía incertidumbre sobre aspectos centrales del caso, en especial sobre la pertenencia de la franja ocupada, la fecha precisa de inicio de la ocupación y el conocimiento que tenían los acusados acerca de la titularidad del terreno. Por </w:t>
      </w:r>
      <w:r w:rsidR="0077140C" w:rsidRPr="00D06CB8">
        <w:rPr>
          <w:rFonts w:ascii="Bookman Old Style" w:eastAsia="Bookman Old Style" w:hAnsi="Bookman Old Style" w:cs="Bookman Old Style"/>
          <w:sz w:val="27"/>
          <w:szCs w:val="27"/>
          <w:lang w:val="es-CO"/>
        </w:rPr>
        <w:t>ello</w:t>
      </w:r>
      <w:r w:rsidRPr="00D06CB8">
        <w:rPr>
          <w:rFonts w:ascii="Bookman Old Style" w:eastAsia="Bookman Old Style" w:hAnsi="Bookman Old Style" w:cs="Bookman Old Style"/>
          <w:sz w:val="27"/>
          <w:szCs w:val="27"/>
          <w:lang w:val="es-CO"/>
        </w:rPr>
        <w:t xml:space="preserve"> entendió que la prueba no </w:t>
      </w:r>
      <w:r w:rsidR="0077140C" w:rsidRPr="00D06CB8">
        <w:rPr>
          <w:rFonts w:ascii="Bookman Old Style" w:eastAsia="Bookman Old Style" w:hAnsi="Bookman Old Style" w:cs="Bookman Old Style"/>
          <w:sz w:val="27"/>
          <w:szCs w:val="27"/>
          <w:lang w:val="es-CO"/>
        </w:rPr>
        <w:t>derruía</w:t>
      </w:r>
      <w:r w:rsidRPr="00D06CB8">
        <w:rPr>
          <w:rFonts w:ascii="Bookman Old Style" w:eastAsia="Bookman Old Style" w:hAnsi="Bookman Old Style" w:cs="Bookman Old Style"/>
          <w:sz w:val="27"/>
          <w:szCs w:val="27"/>
          <w:lang w:val="es-CO"/>
        </w:rPr>
        <w:t xml:space="preserve"> la presunción de inocencia y que debía resolver en favor de los procesados. </w:t>
      </w:r>
    </w:p>
    <w:p w14:paraId="5C7CD04E" w14:textId="77777777" w:rsidR="00A76C96" w:rsidRPr="00D06CB8" w:rsidRDefault="00A76C96" w:rsidP="0056217D">
      <w:pPr>
        <w:spacing w:after="0" w:line="360" w:lineRule="auto"/>
        <w:ind w:firstLine="567"/>
        <w:jc w:val="both"/>
        <w:rPr>
          <w:rFonts w:ascii="Bookman Old Style" w:eastAsia="Bookman Old Style" w:hAnsi="Bookman Old Style" w:cs="Bookman Old Style"/>
          <w:sz w:val="27"/>
          <w:szCs w:val="27"/>
        </w:rPr>
      </w:pPr>
    </w:p>
    <w:p w14:paraId="5902A785" w14:textId="77777777" w:rsidR="009236CA" w:rsidRPr="00D06CB8" w:rsidRDefault="009236CA" w:rsidP="0056217D">
      <w:pPr>
        <w:pStyle w:val="Prrafodelista"/>
        <w:widowControl w:val="0"/>
        <w:numPr>
          <w:ilvl w:val="0"/>
          <w:numId w:val="2"/>
        </w:numPr>
        <w:tabs>
          <w:tab w:val="left" w:pos="1134"/>
        </w:tabs>
        <w:spacing w:after="0" w:line="360" w:lineRule="auto"/>
        <w:ind w:left="0" w:firstLine="567"/>
        <w:jc w:val="both"/>
        <w:rPr>
          <w:rFonts w:ascii="Bookman Old Style" w:hAnsi="Bookman Old Style"/>
          <w:b/>
          <w:bCs/>
          <w:sz w:val="27"/>
          <w:szCs w:val="27"/>
        </w:rPr>
      </w:pPr>
      <w:r w:rsidRPr="00D06CB8">
        <w:rPr>
          <w:rFonts w:ascii="Bookman Old Style" w:hAnsi="Bookman Old Style"/>
          <w:b/>
          <w:bCs/>
          <w:sz w:val="27"/>
          <w:szCs w:val="27"/>
        </w:rPr>
        <w:t>La sentencia de segunda instancia.</w:t>
      </w:r>
    </w:p>
    <w:p w14:paraId="55E176AD" w14:textId="77777777" w:rsidR="009236CA" w:rsidRPr="00D06CB8" w:rsidRDefault="009236CA" w:rsidP="0056217D">
      <w:pPr>
        <w:widowControl w:val="0"/>
        <w:tabs>
          <w:tab w:val="left" w:pos="1134"/>
        </w:tabs>
        <w:spacing w:after="0" w:line="360" w:lineRule="auto"/>
        <w:ind w:firstLine="567"/>
        <w:jc w:val="both"/>
        <w:rPr>
          <w:rFonts w:ascii="Bookman Old Style" w:hAnsi="Bookman Old Style"/>
          <w:b/>
          <w:sz w:val="27"/>
          <w:szCs w:val="27"/>
          <w:lang w:eastAsia="es-ES"/>
        </w:rPr>
      </w:pPr>
    </w:p>
    <w:p w14:paraId="4592B120" w14:textId="035F892B" w:rsidR="009236CA" w:rsidRPr="00D06CB8" w:rsidRDefault="009236CA" w:rsidP="6F994DCF">
      <w:pPr>
        <w:widowControl w:val="0"/>
        <w:tabs>
          <w:tab w:val="left" w:pos="1134"/>
        </w:tabs>
        <w:spacing w:after="0" w:line="360" w:lineRule="auto"/>
        <w:ind w:firstLine="567"/>
        <w:jc w:val="both"/>
        <w:rPr>
          <w:rFonts w:ascii="Bookman Old Style" w:hAnsi="Bookman Old Style"/>
          <w:sz w:val="27"/>
          <w:szCs w:val="27"/>
          <w:lang w:val="es-ES" w:eastAsia="es-ES"/>
        </w:rPr>
      </w:pPr>
      <w:r w:rsidRPr="00D06CB8">
        <w:rPr>
          <w:rFonts w:ascii="Bookman Old Style" w:hAnsi="Bookman Old Style"/>
          <w:sz w:val="27"/>
          <w:szCs w:val="27"/>
          <w:lang w:val="es-ES" w:eastAsia="es-ES"/>
        </w:rPr>
        <w:t>La Sala Pena</w:t>
      </w:r>
      <w:r w:rsidR="0037104F" w:rsidRPr="00D06CB8">
        <w:rPr>
          <w:rFonts w:ascii="Bookman Old Style" w:hAnsi="Bookman Old Style"/>
          <w:sz w:val="27"/>
          <w:szCs w:val="27"/>
          <w:lang w:val="es-ES" w:eastAsia="es-ES"/>
        </w:rPr>
        <w:t>l del</w:t>
      </w:r>
      <w:r w:rsidR="00795B30" w:rsidRPr="00D06CB8">
        <w:rPr>
          <w:rFonts w:ascii="Bookman Old Style" w:hAnsi="Bookman Old Style"/>
          <w:sz w:val="27"/>
          <w:szCs w:val="27"/>
          <w:lang w:val="es-ES" w:eastAsia="es-ES"/>
        </w:rPr>
        <w:t xml:space="preserve"> </w:t>
      </w:r>
      <w:r w:rsidRPr="00D06CB8">
        <w:rPr>
          <w:rFonts w:ascii="Bookman Old Style" w:hAnsi="Bookman Old Style"/>
          <w:sz w:val="27"/>
          <w:szCs w:val="27"/>
          <w:lang w:val="es-ES" w:eastAsia="es-ES"/>
        </w:rPr>
        <w:t xml:space="preserve">Tribunal Superior de </w:t>
      </w:r>
      <w:r w:rsidR="0037104F" w:rsidRPr="00D06CB8">
        <w:rPr>
          <w:rFonts w:ascii="Bookman Old Style" w:hAnsi="Bookman Old Style"/>
          <w:sz w:val="27"/>
          <w:szCs w:val="27"/>
          <w:lang w:val="es-ES" w:eastAsia="es-ES"/>
        </w:rPr>
        <w:t>Ibagué</w:t>
      </w:r>
      <w:r w:rsidRPr="00D06CB8">
        <w:rPr>
          <w:rFonts w:ascii="Bookman Old Style" w:hAnsi="Bookman Old Style"/>
          <w:sz w:val="27"/>
          <w:szCs w:val="27"/>
          <w:lang w:val="es-ES" w:eastAsia="es-ES"/>
        </w:rPr>
        <w:t xml:space="preserve"> revocó la </w:t>
      </w:r>
      <w:r w:rsidR="00E56304" w:rsidRPr="00D06CB8">
        <w:rPr>
          <w:rFonts w:ascii="Bookman Old Style" w:hAnsi="Bookman Old Style"/>
          <w:sz w:val="27"/>
          <w:szCs w:val="27"/>
          <w:lang w:val="es-ES" w:eastAsia="es-ES"/>
        </w:rPr>
        <w:t>absolución</w:t>
      </w:r>
      <w:r w:rsidRPr="00D06CB8">
        <w:rPr>
          <w:rFonts w:ascii="Bookman Old Style" w:hAnsi="Bookman Old Style"/>
          <w:sz w:val="27"/>
          <w:szCs w:val="27"/>
          <w:lang w:val="es-ES" w:eastAsia="es-ES"/>
        </w:rPr>
        <w:t xml:space="preserve"> de primera instancia</w:t>
      </w:r>
      <w:r w:rsidR="00D7442C" w:rsidRPr="00D06CB8">
        <w:rPr>
          <w:rFonts w:ascii="Bookman Old Style" w:hAnsi="Bookman Old Style"/>
          <w:sz w:val="27"/>
          <w:szCs w:val="27"/>
          <w:lang w:val="es-ES" w:eastAsia="es-ES"/>
        </w:rPr>
        <w:t xml:space="preserve"> y </w:t>
      </w:r>
      <w:r w:rsidR="00761804" w:rsidRPr="00D06CB8">
        <w:rPr>
          <w:rFonts w:ascii="Bookman Old Style" w:hAnsi="Bookman Old Style"/>
          <w:sz w:val="27"/>
          <w:szCs w:val="27"/>
          <w:lang w:val="es-ES" w:eastAsia="es-ES"/>
        </w:rPr>
        <w:t>declaró penalmente responsable</w:t>
      </w:r>
      <w:r w:rsidR="00453C8A" w:rsidRPr="00D06CB8">
        <w:rPr>
          <w:rFonts w:ascii="Bookman Old Style" w:hAnsi="Bookman Old Style"/>
          <w:sz w:val="27"/>
          <w:szCs w:val="27"/>
          <w:lang w:val="es-ES" w:eastAsia="es-ES"/>
        </w:rPr>
        <w:t>s</w:t>
      </w:r>
      <w:r w:rsidR="00761804" w:rsidRPr="00D06CB8">
        <w:rPr>
          <w:rFonts w:ascii="Bookman Old Style" w:hAnsi="Bookman Old Style"/>
          <w:sz w:val="27"/>
          <w:szCs w:val="27"/>
          <w:lang w:val="es-ES" w:eastAsia="es-ES"/>
        </w:rPr>
        <w:t xml:space="preserve"> a </w:t>
      </w:r>
      <w:r w:rsidR="0037104F" w:rsidRPr="00D06CB8">
        <w:rPr>
          <w:rFonts w:ascii="Bookman Old Style" w:hAnsi="Bookman Old Style"/>
          <w:smallCaps/>
          <w:color w:val="000000"/>
          <w:spacing w:val="-3"/>
          <w:sz w:val="27"/>
          <w:szCs w:val="27"/>
          <w:lang w:val="es-ES"/>
        </w:rPr>
        <w:t>Armando Loaiza Céspedes</w:t>
      </w:r>
      <w:r w:rsidR="0037104F" w:rsidRPr="00D06CB8">
        <w:rPr>
          <w:rFonts w:ascii="Bookman Old Style" w:hAnsi="Bookman Old Style"/>
          <w:color w:val="000000"/>
          <w:spacing w:val="-3"/>
          <w:sz w:val="27"/>
          <w:szCs w:val="27"/>
          <w:lang w:val="es-ES"/>
        </w:rPr>
        <w:t xml:space="preserve">, </w:t>
      </w:r>
      <w:r w:rsidR="0037104F" w:rsidRPr="00D06CB8">
        <w:rPr>
          <w:rFonts w:ascii="Bookman Old Style" w:hAnsi="Bookman Old Style"/>
          <w:smallCaps/>
          <w:color w:val="000000"/>
          <w:spacing w:val="-3"/>
          <w:sz w:val="27"/>
          <w:szCs w:val="27"/>
          <w:lang w:val="es-ES"/>
        </w:rPr>
        <w:t>Luis Enrique Peña Camacho</w:t>
      </w:r>
      <w:r w:rsidR="0037104F" w:rsidRPr="00D06CB8">
        <w:rPr>
          <w:rFonts w:ascii="Bookman Old Style" w:hAnsi="Bookman Old Style"/>
          <w:color w:val="000000"/>
          <w:spacing w:val="-3"/>
          <w:sz w:val="27"/>
          <w:szCs w:val="27"/>
          <w:lang w:val="es-ES"/>
        </w:rPr>
        <w:t xml:space="preserve"> y </w:t>
      </w:r>
      <w:r w:rsidR="00520EBC" w:rsidRPr="00D06CB8">
        <w:rPr>
          <w:rFonts w:ascii="Bookman Old Style" w:hAnsi="Bookman Old Style"/>
          <w:smallCaps/>
          <w:color w:val="000000"/>
          <w:spacing w:val="-3"/>
          <w:sz w:val="27"/>
          <w:szCs w:val="27"/>
          <w:lang w:val="es-ES"/>
        </w:rPr>
        <w:t>É</w:t>
      </w:r>
      <w:r w:rsidR="0037104F" w:rsidRPr="00D06CB8">
        <w:rPr>
          <w:rFonts w:ascii="Bookman Old Style" w:hAnsi="Bookman Old Style"/>
          <w:smallCaps/>
          <w:color w:val="000000"/>
          <w:spacing w:val="-3"/>
          <w:sz w:val="27"/>
          <w:szCs w:val="27"/>
          <w:lang w:val="es-ES"/>
        </w:rPr>
        <w:t>dgar Triana</w:t>
      </w:r>
      <w:r w:rsidR="0037104F" w:rsidRPr="00D06CB8">
        <w:rPr>
          <w:rFonts w:ascii="Bookman Old Style" w:hAnsi="Bookman Old Style"/>
          <w:color w:val="000000"/>
          <w:spacing w:val="-3"/>
          <w:sz w:val="27"/>
          <w:szCs w:val="27"/>
          <w:lang w:val="es-ES"/>
        </w:rPr>
        <w:t xml:space="preserve"> </w:t>
      </w:r>
      <w:r w:rsidR="000313AB" w:rsidRPr="00D06CB8">
        <w:rPr>
          <w:rFonts w:ascii="Bookman Old Style" w:hAnsi="Bookman Old Style"/>
          <w:color w:val="000000"/>
          <w:spacing w:val="-3"/>
          <w:sz w:val="27"/>
          <w:szCs w:val="27"/>
          <w:lang w:val="es-ES"/>
        </w:rPr>
        <w:t xml:space="preserve">por el delito de </w:t>
      </w:r>
      <w:r w:rsidR="0037104F" w:rsidRPr="00D06CB8">
        <w:rPr>
          <w:rFonts w:ascii="Bookman Old Style" w:hAnsi="Bookman Old Style"/>
          <w:color w:val="000000"/>
          <w:spacing w:val="-3"/>
          <w:sz w:val="27"/>
          <w:szCs w:val="27"/>
          <w:lang w:val="es-ES"/>
        </w:rPr>
        <w:t xml:space="preserve">invasión de </w:t>
      </w:r>
      <w:r w:rsidR="00453C8A" w:rsidRPr="00D06CB8">
        <w:rPr>
          <w:rFonts w:ascii="Bookman Old Style" w:hAnsi="Bookman Old Style"/>
          <w:color w:val="000000"/>
          <w:spacing w:val="-3"/>
          <w:sz w:val="27"/>
          <w:szCs w:val="27"/>
          <w:lang w:val="es-ES"/>
        </w:rPr>
        <w:t>tierras y edificaciones</w:t>
      </w:r>
      <w:r w:rsidR="007D27A4" w:rsidRPr="00D06CB8">
        <w:rPr>
          <w:rFonts w:ascii="Bookman Old Style" w:hAnsi="Bookman Old Style"/>
          <w:color w:val="000000"/>
          <w:spacing w:val="-3"/>
          <w:sz w:val="27"/>
          <w:szCs w:val="27"/>
          <w:lang w:val="es-ES"/>
        </w:rPr>
        <w:t xml:space="preserve"> agravado</w:t>
      </w:r>
      <w:r w:rsidR="000313AB" w:rsidRPr="00D06CB8">
        <w:rPr>
          <w:rFonts w:ascii="Bookman Old Style" w:hAnsi="Bookman Old Style"/>
          <w:color w:val="000000"/>
          <w:spacing w:val="-3"/>
          <w:sz w:val="27"/>
          <w:szCs w:val="27"/>
          <w:lang w:val="es-ES"/>
        </w:rPr>
        <w:t>. L</w:t>
      </w:r>
      <w:r w:rsidRPr="00D06CB8">
        <w:rPr>
          <w:rFonts w:ascii="Bookman Old Style" w:hAnsi="Bookman Old Style"/>
          <w:sz w:val="27"/>
          <w:szCs w:val="27"/>
          <w:lang w:val="es-ES" w:eastAsia="es-ES"/>
        </w:rPr>
        <w:t>os fundamentos que expuso fueron los siguientes:</w:t>
      </w:r>
    </w:p>
    <w:p w14:paraId="27A1F025" w14:textId="77777777" w:rsidR="009236CA" w:rsidRPr="00D06CB8" w:rsidRDefault="009236CA" w:rsidP="0056217D">
      <w:pPr>
        <w:widowControl w:val="0"/>
        <w:spacing w:after="0" w:line="360" w:lineRule="auto"/>
        <w:ind w:firstLine="567"/>
        <w:jc w:val="both"/>
        <w:rPr>
          <w:rFonts w:ascii="Bookman Old Style" w:hAnsi="Bookman Old Style"/>
          <w:sz w:val="27"/>
          <w:szCs w:val="27"/>
        </w:rPr>
      </w:pPr>
    </w:p>
    <w:p w14:paraId="6D6F59B9" w14:textId="59356881" w:rsidR="00453C8A" w:rsidRPr="00D06CB8" w:rsidRDefault="00453C8A" w:rsidP="6F994DCF">
      <w:pPr>
        <w:pStyle w:val="Prrafodelista"/>
        <w:widowControl w:val="0"/>
        <w:numPr>
          <w:ilvl w:val="0"/>
          <w:numId w:val="9"/>
        </w:numPr>
        <w:spacing w:after="0" w:line="360" w:lineRule="auto"/>
        <w:ind w:left="0" w:firstLine="567"/>
        <w:jc w:val="both"/>
        <w:rPr>
          <w:rFonts w:ascii="Bookman Old Style" w:hAnsi="Bookman Old Style"/>
          <w:sz w:val="27"/>
          <w:szCs w:val="27"/>
          <w:lang w:val="es-ES"/>
        </w:rPr>
      </w:pPr>
      <w:r w:rsidRPr="00D06CB8">
        <w:rPr>
          <w:rFonts w:ascii="Bookman Old Style" w:hAnsi="Bookman Old Style"/>
          <w:sz w:val="27"/>
          <w:szCs w:val="27"/>
          <w:lang w:val="es-ES"/>
        </w:rPr>
        <w:t xml:space="preserve"> </w:t>
      </w:r>
      <w:r w:rsidRPr="00D06CB8">
        <w:rPr>
          <w:rFonts w:ascii="Bookman Old Style" w:hAnsi="Bookman Old Style"/>
          <w:i/>
          <w:iCs/>
          <w:sz w:val="27"/>
          <w:szCs w:val="27"/>
          <w:lang w:val="es-ES"/>
        </w:rPr>
        <w:t xml:space="preserve">Dominio cierto sobre el predio </w:t>
      </w:r>
      <w:r w:rsidR="00384D00" w:rsidRPr="00D06CB8">
        <w:rPr>
          <w:rFonts w:ascii="Bookman Old Style" w:hAnsi="Bookman Old Style"/>
          <w:i/>
          <w:iCs/>
          <w:sz w:val="27"/>
          <w:szCs w:val="27"/>
          <w:lang w:val="es-ES"/>
        </w:rPr>
        <w:t>“</w:t>
      </w:r>
      <w:r w:rsidRPr="00D06CB8">
        <w:rPr>
          <w:rFonts w:ascii="Bookman Old Style" w:hAnsi="Bookman Old Style"/>
          <w:i/>
          <w:iCs/>
          <w:sz w:val="27"/>
          <w:szCs w:val="27"/>
          <w:lang w:val="es-ES"/>
        </w:rPr>
        <w:t>Las Mercedes</w:t>
      </w:r>
      <w:r w:rsidR="00384D00" w:rsidRPr="00D06CB8">
        <w:rPr>
          <w:rFonts w:ascii="Bookman Old Style" w:hAnsi="Bookman Old Style"/>
          <w:i/>
          <w:iCs/>
          <w:sz w:val="27"/>
          <w:szCs w:val="27"/>
          <w:lang w:val="es-ES"/>
        </w:rPr>
        <w:t>”</w:t>
      </w:r>
      <w:r w:rsidRPr="00D06CB8">
        <w:rPr>
          <w:rFonts w:ascii="Bookman Old Style" w:hAnsi="Bookman Old Style"/>
          <w:sz w:val="27"/>
          <w:szCs w:val="27"/>
          <w:lang w:val="es-ES"/>
        </w:rPr>
        <w:t xml:space="preserve">. </w:t>
      </w:r>
      <w:r w:rsidR="00FE355F" w:rsidRPr="00D06CB8">
        <w:rPr>
          <w:rFonts w:ascii="Bookman Old Style" w:hAnsi="Bookman Old Style"/>
          <w:sz w:val="27"/>
          <w:szCs w:val="27"/>
          <w:lang w:val="es-ES"/>
        </w:rPr>
        <w:t>Los títulos públicos, el certificado de tradición, el plano del I</w:t>
      </w:r>
      <w:r w:rsidR="00520EBC" w:rsidRPr="00D06CB8">
        <w:rPr>
          <w:rFonts w:ascii="Bookman Old Style" w:hAnsi="Bookman Old Style"/>
          <w:sz w:val="27"/>
          <w:szCs w:val="27"/>
          <w:lang w:val="es-ES"/>
        </w:rPr>
        <w:t xml:space="preserve">nstituto Geográfico Agustín </w:t>
      </w:r>
      <w:r w:rsidR="00FE355F" w:rsidRPr="00D06CB8">
        <w:rPr>
          <w:rFonts w:ascii="Bookman Old Style" w:hAnsi="Bookman Old Style"/>
          <w:sz w:val="27"/>
          <w:szCs w:val="27"/>
          <w:lang w:val="es-ES"/>
        </w:rPr>
        <w:t>C</w:t>
      </w:r>
      <w:r w:rsidR="00520EBC" w:rsidRPr="00D06CB8">
        <w:rPr>
          <w:rFonts w:ascii="Bookman Old Style" w:hAnsi="Bookman Old Style"/>
          <w:sz w:val="27"/>
          <w:szCs w:val="27"/>
          <w:lang w:val="es-ES"/>
        </w:rPr>
        <w:t xml:space="preserve">odazzi (IGAC) </w:t>
      </w:r>
      <w:r w:rsidR="00FE355F" w:rsidRPr="00D06CB8">
        <w:rPr>
          <w:rFonts w:ascii="Bookman Old Style" w:hAnsi="Bookman Old Style"/>
          <w:sz w:val="27"/>
          <w:szCs w:val="27"/>
          <w:lang w:val="es-ES"/>
        </w:rPr>
        <w:t>y el dictamen pericial demostraron que Martha Lucía Montiel Morales era la propietaria de “Las Mercedes”, que los linderos del inmueble permanecieron inalterados y que EPSA nunca figuró como titular, colindante ni interviniente en la tradición del predio</w:t>
      </w:r>
      <w:r w:rsidR="0077140C" w:rsidRPr="00D06CB8">
        <w:rPr>
          <w:rFonts w:ascii="Bookman Old Style" w:hAnsi="Bookman Old Style"/>
          <w:sz w:val="27"/>
          <w:szCs w:val="27"/>
          <w:lang w:val="es-ES"/>
        </w:rPr>
        <w:t>.</w:t>
      </w:r>
      <w:r w:rsidR="00FE355F" w:rsidRPr="00D06CB8">
        <w:rPr>
          <w:rFonts w:ascii="Bookman Old Style" w:hAnsi="Bookman Old Style"/>
          <w:sz w:val="27"/>
          <w:szCs w:val="27"/>
          <w:lang w:val="es-ES"/>
        </w:rPr>
        <w:t xml:space="preserve"> </w:t>
      </w:r>
      <w:r w:rsidR="0077140C" w:rsidRPr="00D06CB8">
        <w:rPr>
          <w:rFonts w:ascii="Bookman Old Style" w:hAnsi="Bookman Old Style"/>
          <w:sz w:val="27"/>
          <w:szCs w:val="27"/>
          <w:lang w:val="es-ES"/>
        </w:rPr>
        <w:t>A</w:t>
      </w:r>
      <w:r w:rsidR="00FE355F" w:rsidRPr="00D06CB8">
        <w:rPr>
          <w:rFonts w:ascii="Bookman Old Style" w:hAnsi="Bookman Old Style"/>
          <w:sz w:val="27"/>
          <w:szCs w:val="27"/>
          <w:lang w:val="es-ES"/>
        </w:rPr>
        <w:t>demás, las escrituras aportadas por la defensa no se referían a esa finca ubicada en Purificación, sino a mejoras y a áreas inundadas o inundables de la represa de Hidroprado.</w:t>
      </w:r>
    </w:p>
    <w:p w14:paraId="20BE89A0" w14:textId="77777777" w:rsidR="00453C8A" w:rsidRPr="00D06CB8" w:rsidRDefault="00453C8A" w:rsidP="0056217D">
      <w:pPr>
        <w:widowControl w:val="0"/>
        <w:spacing w:after="0" w:line="360" w:lineRule="auto"/>
        <w:ind w:firstLine="567"/>
        <w:jc w:val="both"/>
        <w:rPr>
          <w:rFonts w:ascii="Bookman Old Style" w:hAnsi="Bookman Old Style"/>
          <w:sz w:val="27"/>
          <w:szCs w:val="27"/>
        </w:rPr>
      </w:pPr>
    </w:p>
    <w:p w14:paraId="13AA62E8" w14:textId="6EFE0B13" w:rsidR="00453C8A" w:rsidRPr="00D06CB8" w:rsidRDefault="00453C8A" w:rsidP="6F994DCF">
      <w:pPr>
        <w:pStyle w:val="Prrafodelista"/>
        <w:widowControl w:val="0"/>
        <w:numPr>
          <w:ilvl w:val="0"/>
          <w:numId w:val="9"/>
        </w:numPr>
        <w:spacing w:after="0" w:line="360" w:lineRule="auto"/>
        <w:ind w:left="0" w:firstLine="567"/>
        <w:jc w:val="both"/>
        <w:rPr>
          <w:rFonts w:ascii="Bookman Old Style" w:hAnsi="Bookman Old Style"/>
          <w:sz w:val="27"/>
          <w:szCs w:val="27"/>
          <w:lang w:val="es-ES"/>
        </w:rPr>
      </w:pPr>
      <w:r w:rsidRPr="00D06CB8">
        <w:rPr>
          <w:rFonts w:ascii="Bookman Old Style" w:hAnsi="Bookman Old Style"/>
          <w:sz w:val="27"/>
          <w:szCs w:val="27"/>
          <w:lang w:val="es-ES"/>
        </w:rPr>
        <w:t xml:space="preserve"> </w:t>
      </w:r>
      <w:r w:rsidRPr="00D06CB8">
        <w:rPr>
          <w:rFonts w:ascii="Bookman Old Style" w:hAnsi="Bookman Old Style"/>
          <w:i/>
          <w:iCs/>
          <w:sz w:val="27"/>
          <w:szCs w:val="27"/>
          <w:lang w:val="es-ES"/>
        </w:rPr>
        <w:t>La invasión recayó sobre un bien ajeno</w:t>
      </w:r>
      <w:r w:rsidRPr="00D06CB8">
        <w:rPr>
          <w:rFonts w:ascii="Bookman Old Style" w:hAnsi="Bookman Old Style"/>
          <w:sz w:val="27"/>
          <w:szCs w:val="27"/>
          <w:lang w:val="es-ES"/>
        </w:rPr>
        <w:t>. El artículo 263 Cp no exig</w:t>
      </w:r>
      <w:r w:rsidR="00FE355F" w:rsidRPr="00D06CB8">
        <w:rPr>
          <w:rFonts w:ascii="Bookman Old Style" w:hAnsi="Bookman Old Style"/>
          <w:sz w:val="27"/>
          <w:szCs w:val="27"/>
          <w:lang w:val="es-ES"/>
        </w:rPr>
        <w:t>e</w:t>
      </w:r>
      <w:r w:rsidRPr="00D06CB8">
        <w:rPr>
          <w:rFonts w:ascii="Bookman Old Style" w:hAnsi="Bookman Old Style"/>
          <w:sz w:val="27"/>
          <w:szCs w:val="27"/>
          <w:lang w:val="es-ES"/>
        </w:rPr>
        <w:t xml:space="preserve"> una discusión civil completa sobre </w:t>
      </w:r>
      <w:r w:rsidR="0077140C" w:rsidRPr="00D06CB8">
        <w:rPr>
          <w:rFonts w:ascii="Bookman Old Style" w:hAnsi="Bookman Old Style"/>
          <w:sz w:val="27"/>
          <w:szCs w:val="27"/>
          <w:lang w:val="es-ES"/>
        </w:rPr>
        <w:t xml:space="preserve">el </w:t>
      </w:r>
      <w:r w:rsidRPr="00D06CB8">
        <w:rPr>
          <w:rFonts w:ascii="Bookman Old Style" w:hAnsi="Bookman Old Style"/>
          <w:sz w:val="27"/>
          <w:szCs w:val="27"/>
          <w:lang w:val="es-ES"/>
        </w:rPr>
        <w:t>dominio</w:t>
      </w:r>
      <w:r w:rsidR="0077140C" w:rsidRPr="00D06CB8">
        <w:rPr>
          <w:rFonts w:ascii="Bookman Old Style" w:hAnsi="Bookman Old Style"/>
          <w:sz w:val="27"/>
          <w:szCs w:val="27"/>
          <w:lang w:val="es-ES"/>
        </w:rPr>
        <w:t xml:space="preserve"> </w:t>
      </w:r>
      <w:r w:rsidR="0077140C" w:rsidRPr="00D06CB8">
        <w:rPr>
          <w:rFonts w:ascii="Bookman Old Style" w:hAnsi="Bookman Old Style"/>
          <w:sz w:val="27"/>
          <w:szCs w:val="27"/>
          <w:lang w:val="es-ES"/>
        </w:rPr>
        <w:lastRenderedPageBreak/>
        <w:t>de un predio</w:t>
      </w:r>
      <w:r w:rsidRPr="00D06CB8">
        <w:rPr>
          <w:rFonts w:ascii="Bookman Old Style" w:hAnsi="Bookman Old Style"/>
          <w:sz w:val="27"/>
          <w:szCs w:val="27"/>
          <w:lang w:val="es-ES"/>
        </w:rPr>
        <w:t>, sino la constatación de que el terreno resultaba ajeno para los acusados y que ellos no tenían derecho</w:t>
      </w:r>
      <w:r w:rsidR="0077140C" w:rsidRPr="00D06CB8">
        <w:rPr>
          <w:rFonts w:ascii="Bookman Old Style" w:hAnsi="Bookman Old Style"/>
          <w:sz w:val="27"/>
          <w:szCs w:val="27"/>
          <w:lang w:val="es-ES"/>
        </w:rPr>
        <w:t>s</w:t>
      </w:r>
      <w:r w:rsidRPr="00D06CB8">
        <w:rPr>
          <w:rFonts w:ascii="Bookman Old Style" w:hAnsi="Bookman Old Style"/>
          <w:sz w:val="27"/>
          <w:szCs w:val="27"/>
          <w:lang w:val="es-ES"/>
        </w:rPr>
        <w:t xml:space="preserve"> real</w:t>
      </w:r>
      <w:r w:rsidR="0077140C" w:rsidRPr="00D06CB8">
        <w:rPr>
          <w:rFonts w:ascii="Bookman Old Style" w:hAnsi="Bookman Old Style"/>
          <w:sz w:val="27"/>
          <w:szCs w:val="27"/>
          <w:lang w:val="es-ES"/>
        </w:rPr>
        <w:t>es</w:t>
      </w:r>
      <w:r w:rsidRPr="00D06CB8">
        <w:rPr>
          <w:rFonts w:ascii="Bookman Old Style" w:hAnsi="Bookman Old Style"/>
          <w:sz w:val="27"/>
          <w:szCs w:val="27"/>
          <w:lang w:val="es-ES"/>
        </w:rPr>
        <w:t xml:space="preserve"> sobre él. Desde esa premisa, descartó la tesis del </w:t>
      </w:r>
      <w:r w:rsidR="00E2038D" w:rsidRPr="00D06CB8">
        <w:rPr>
          <w:rFonts w:ascii="Bookman Old Style" w:hAnsi="Bookman Old Style"/>
          <w:sz w:val="27"/>
          <w:szCs w:val="27"/>
          <w:lang w:val="es-ES"/>
        </w:rPr>
        <w:t>J</w:t>
      </w:r>
      <w:r w:rsidRPr="00D06CB8">
        <w:rPr>
          <w:rFonts w:ascii="Bookman Old Style" w:hAnsi="Bookman Old Style"/>
          <w:sz w:val="27"/>
          <w:szCs w:val="27"/>
          <w:lang w:val="es-ES"/>
        </w:rPr>
        <w:t xml:space="preserve">uzgado según la cual la ocupación previa a la entrega material excluía el delito. Para </w:t>
      </w:r>
      <w:r w:rsidR="0059048F" w:rsidRPr="00D06CB8">
        <w:rPr>
          <w:rFonts w:ascii="Bookman Old Style" w:hAnsi="Bookman Old Style"/>
          <w:sz w:val="27"/>
          <w:szCs w:val="27"/>
          <w:lang w:val="es-ES"/>
        </w:rPr>
        <w:t>el Tribunal Superior</w:t>
      </w:r>
      <w:r w:rsidRPr="00D06CB8">
        <w:rPr>
          <w:rFonts w:ascii="Bookman Old Style" w:hAnsi="Bookman Old Style"/>
          <w:sz w:val="27"/>
          <w:szCs w:val="27"/>
          <w:lang w:val="es-ES"/>
        </w:rPr>
        <w:t xml:space="preserve">, esa circunstancia no borró la ajenidad ni la tipicidad, porque </w:t>
      </w:r>
      <w:r w:rsidRPr="00D06CB8">
        <w:rPr>
          <w:rFonts w:ascii="Bookman Old Style" w:hAnsi="Bookman Old Style"/>
          <w:smallCaps/>
          <w:color w:val="000000"/>
          <w:spacing w:val="-3"/>
          <w:sz w:val="27"/>
          <w:szCs w:val="27"/>
          <w:lang w:val="es-ES"/>
        </w:rPr>
        <w:t>Loaiza Céspedes</w:t>
      </w:r>
      <w:r w:rsidRPr="00D06CB8">
        <w:rPr>
          <w:rFonts w:ascii="Bookman Old Style" w:hAnsi="Bookman Old Style"/>
          <w:color w:val="000000"/>
          <w:spacing w:val="-3"/>
          <w:sz w:val="27"/>
          <w:szCs w:val="27"/>
          <w:lang w:val="es-ES"/>
        </w:rPr>
        <w:t xml:space="preserve">, </w:t>
      </w:r>
      <w:r w:rsidRPr="00D06CB8">
        <w:rPr>
          <w:rFonts w:ascii="Bookman Old Style" w:hAnsi="Bookman Old Style"/>
          <w:smallCaps/>
          <w:color w:val="000000"/>
          <w:spacing w:val="-3"/>
          <w:sz w:val="27"/>
          <w:szCs w:val="27"/>
          <w:lang w:val="es-ES"/>
        </w:rPr>
        <w:t>Peña Camacho</w:t>
      </w:r>
      <w:r w:rsidRPr="00D06CB8">
        <w:rPr>
          <w:rFonts w:ascii="Bookman Old Style" w:hAnsi="Bookman Old Style"/>
          <w:color w:val="000000"/>
          <w:spacing w:val="-3"/>
          <w:sz w:val="27"/>
          <w:szCs w:val="27"/>
          <w:lang w:val="es-ES"/>
        </w:rPr>
        <w:t xml:space="preserve"> y </w:t>
      </w:r>
      <w:r w:rsidRPr="00D06CB8">
        <w:rPr>
          <w:rFonts w:ascii="Bookman Old Style" w:hAnsi="Bookman Old Style"/>
          <w:smallCaps/>
          <w:color w:val="000000"/>
          <w:spacing w:val="-3"/>
          <w:sz w:val="27"/>
          <w:szCs w:val="27"/>
          <w:lang w:val="es-ES"/>
        </w:rPr>
        <w:t>Triana</w:t>
      </w:r>
      <w:r w:rsidRPr="00D06CB8">
        <w:rPr>
          <w:rFonts w:ascii="Bookman Old Style" w:hAnsi="Bookman Old Style"/>
          <w:color w:val="000000"/>
          <w:spacing w:val="-3"/>
          <w:sz w:val="27"/>
          <w:szCs w:val="27"/>
          <w:lang w:val="es-ES"/>
        </w:rPr>
        <w:t xml:space="preserve"> </w:t>
      </w:r>
      <w:r w:rsidRPr="00D06CB8">
        <w:rPr>
          <w:rFonts w:ascii="Bookman Old Style" w:hAnsi="Bookman Old Style"/>
          <w:sz w:val="27"/>
          <w:szCs w:val="27"/>
          <w:lang w:val="es-ES"/>
        </w:rPr>
        <w:t xml:space="preserve">carecían de </w:t>
      </w:r>
      <w:r w:rsidR="0059048F" w:rsidRPr="00D06CB8">
        <w:rPr>
          <w:rFonts w:ascii="Bookman Old Style" w:hAnsi="Bookman Old Style"/>
          <w:sz w:val="27"/>
          <w:szCs w:val="27"/>
          <w:lang w:val="es-ES"/>
        </w:rPr>
        <w:t xml:space="preserve">un </w:t>
      </w:r>
      <w:r w:rsidRPr="00D06CB8">
        <w:rPr>
          <w:rFonts w:ascii="Bookman Old Style" w:hAnsi="Bookman Old Style"/>
          <w:sz w:val="27"/>
          <w:szCs w:val="27"/>
          <w:lang w:val="es-ES"/>
        </w:rPr>
        <w:t xml:space="preserve">vínculo legítimo con la franja rural ocupada. </w:t>
      </w:r>
    </w:p>
    <w:p w14:paraId="0AA10998" w14:textId="77777777" w:rsidR="00453C8A" w:rsidRPr="00D06CB8" w:rsidRDefault="00453C8A" w:rsidP="0056217D">
      <w:pPr>
        <w:widowControl w:val="0"/>
        <w:spacing w:after="0" w:line="360" w:lineRule="auto"/>
        <w:ind w:firstLine="567"/>
        <w:jc w:val="both"/>
        <w:rPr>
          <w:rFonts w:ascii="Bookman Old Style" w:hAnsi="Bookman Old Style"/>
          <w:sz w:val="27"/>
          <w:szCs w:val="27"/>
        </w:rPr>
      </w:pPr>
    </w:p>
    <w:p w14:paraId="4F36C78B" w14:textId="51292428" w:rsidR="00453C8A" w:rsidRPr="00D06CB8" w:rsidRDefault="00453C8A" w:rsidP="6F994DCF">
      <w:pPr>
        <w:pStyle w:val="Prrafodelista"/>
        <w:widowControl w:val="0"/>
        <w:numPr>
          <w:ilvl w:val="0"/>
          <w:numId w:val="9"/>
        </w:numPr>
        <w:spacing w:after="0" w:line="360" w:lineRule="auto"/>
        <w:ind w:left="0" w:firstLine="567"/>
        <w:jc w:val="both"/>
        <w:rPr>
          <w:rFonts w:ascii="Bookman Old Style" w:hAnsi="Bookman Old Style"/>
          <w:sz w:val="27"/>
          <w:szCs w:val="27"/>
          <w:lang w:val="es-ES"/>
        </w:rPr>
      </w:pPr>
      <w:r w:rsidRPr="00D06CB8">
        <w:rPr>
          <w:rFonts w:ascii="Bookman Old Style" w:hAnsi="Bookman Old Style"/>
          <w:sz w:val="27"/>
          <w:szCs w:val="27"/>
          <w:lang w:val="es-ES"/>
        </w:rPr>
        <w:t xml:space="preserve"> </w:t>
      </w:r>
      <w:r w:rsidRPr="00D06CB8">
        <w:rPr>
          <w:rFonts w:ascii="Bookman Old Style" w:hAnsi="Bookman Old Style"/>
          <w:i/>
          <w:iCs/>
          <w:sz w:val="27"/>
          <w:szCs w:val="27"/>
          <w:lang w:val="es-ES"/>
        </w:rPr>
        <w:t>La ocupación material quedó probada</w:t>
      </w:r>
      <w:r w:rsidRPr="00D06CB8">
        <w:rPr>
          <w:rFonts w:ascii="Bookman Old Style" w:hAnsi="Bookman Old Style"/>
          <w:sz w:val="27"/>
          <w:szCs w:val="27"/>
          <w:lang w:val="es-ES"/>
        </w:rPr>
        <w:t xml:space="preserve">. </w:t>
      </w:r>
      <w:r w:rsidR="00FE355F" w:rsidRPr="00D06CB8">
        <w:rPr>
          <w:rFonts w:ascii="Bookman Old Style" w:hAnsi="Bookman Old Style"/>
          <w:sz w:val="27"/>
          <w:szCs w:val="27"/>
          <w:lang w:val="es-ES"/>
        </w:rPr>
        <w:t xml:space="preserve">La prueba documental y técnica </w:t>
      </w:r>
      <w:r w:rsidR="00520EBC" w:rsidRPr="00D06CB8">
        <w:rPr>
          <w:rFonts w:ascii="Bookman Old Style" w:hAnsi="Bookman Old Style"/>
          <w:sz w:val="27"/>
          <w:szCs w:val="27"/>
          <w:lang w:val="es-ES"/>
        </w:rPr>
        <w:t xml:space="preserve">reveló </w:t>
      </w:r>
      <w:r w:rsidR="00FE355F" w:rsidRPr="00D06CB8">
        <w:rPr>
          <w:rFonts w:ascii="Bookman Old Style" w:hAnsi="Bookman Old Style"/>
          <w:sz w:val="27"/>
          <w:szCs w:val="27"/>
          <w:lang w:val="es-ES"/>
        </w:rPr>
        <w:t xml:space="preserve">la invasión. El acta del 31 de enero de 2014 </w:t>
      </w:r>
      <w:r w:rsidR="00520EBC" w:rsidRPr="00D06CB8">
        <w:rPr>
          <w:rFonts w:ascii="Bookman Old Style" w:hAnsi="Bookman Old Style"/>
          <w:sz w:val="27"/>
          <w:szCs w:val="27"/>
          <w:lang w:val="es-ES"/>
        </w:rPr>
        <w:t xml:space="preserve">indicó </w:t>
      </w:r>
      <w:r w:rsidR="00FE355F" w:rsidRPr="00D06CB8">
        <w:rPr>
          <w:rFonts w:ascii="Bookman Old Style" w:hAnsi="Bookman Old Style"/>
          <w:sz w:val="27"/>
          <w:szCs w:val="27"/>
          <w:lang w:val="es-ES"/>
        </w:rPr>
        <w:t>que el predio ya estaba ocupado y explotado, y el informe del investigador de policía judicial</w:t>
      </w:r>
      <w:r w:rsidR="00E2038D" w:rsidRPr="00D06CB8">
        <w:rPr>
          <w:rFonts w:ascii="Bookman Old Style" w:hAnsi="Bookman Old Style"/>
          <w:sz w:val="27"/>
          <w:szCs w:val="27"/>
          <w:lang w:val="es-ES"/>
        </w:rPr>
        <w:t>,</w:t>
      </w:r>
      <w:r w:rsidR="00FE355F" w:rsidRPr="00D06CB8">
        <w:rPr>
          <w:rFonts w:ascii="Bookman Old Style" w:hAnsi="Bookman Old Style"/>
          <w:sz w:val="27"/>
          <w:szCs w:val="27"/>
          <w:lang w:val="es-ES"/>
        </w:rPr>
        <w:t xml:space="preserve"> Jhon Fredy López Mendoza</w:t>
      </w:r>
      <w:r w:rsidR="00E2038D" w:rsidRPr="00D06CB8">
        <w:rPr>
          <w:rFonts w:ascii="Bookman Old Style" w:hAnsi="Bookman Old Style"/>
          <w:sz w:val="27"/>
          <w:szCs w:val="27"/>
          <w:lang w:val="es-ES"/>
        </w:rPr>
        <w:t>,</w:t>
      </w:r>
      <w:r w:rsidR="00FE355F" w:rsidRPr="00D06CB8">
        <w:rPr>
          <w:rFonts w:ascii="Bookman Old Style" w:hAnsi="Bookman Old Style"/>
          <w:sz w:val="27"/>
          <w:szCs w:val="27"/>
          <w:lang w:val="es-ES"/>
        </w:rPr>
        <w:t xml:space="preserve"> identificó cuatro áreas invadidas </w:t>
      </w:r>
      <w:r w:rsidR="008D3F4E" w:rsidRPr="00D06CB8">
        <w:rPr>
          <w:rFonts w:ascii="Bookman Old Style" w:hAnsi="Bookman Old Style"/>
          <w:sz w:val="27"/>
          <w:szCs w:val="27"/>
          <w:lang w:val="es-ES"/>
        </w:rPr>
        <w:t>en</w:t>
      </w:r>
      <w:r w:rsidR="00FE355F" w:rsidRPr="00D06CB8">
        <w:rPr>
          <w:rFonts w:ascii="Bookman Old Style" w:hAnsi="Bookman Old Style"/>
          <w:sz w:val="27"/>
          <w:szCs w:val="27"/>
          <w:lang w:val="es-ES"/>
        </w:rPr>
        <w:t xml:space="preserve"> </w:t>
      </w:r>
      <w:r w:rsidR="0067762B" w:rsidRPr="00D06CB8">
        <w:rPr>
          <w:rFonts w:ascii="Bookman Old Style" w:hAnsi="Bookman Old Style"/>
          <w:sz w:val="27"/>
          <w:szCs w:val="27"/>
          <w:lang w:val="es-ES"/>
        </w:rPr>
        <w:t>“</w:t>
      </w:r>
      <w:r w:rsidR="00FE355F" w:rsidRPr="00D06CB8">
        <w:rPr>
          <w:rFonts w:ascii="Bookman Old Style" w:hAnsi="Bookman Old Style"/>
          <w:sz w:val="27"/>
          <w:szCs w:val="27"/>
          <w:lang w:val="es-ES"/>
        </w:rPr>
        <w:t>Las Mercedes</w:t>
      </w:r>
      <w:r w:rsidR="0067762B" w:rsidRPr="00D06CB8">
        <w:rPr>
          <w:rFonts w:ascii="Bookman Old Style" w:hAnsi="Bookman Old Style"/>
          <w:sz w:val="27"/>
          <w:szCs w:val="27"/>
          <w:lang w:val="es-ES"/>
        </w:rPr>
        <w:t>”</w:t>
      </w:r>
      <w:r w:rsidR="00FE355F" w:rsidRPr="00D06CB8">
        <w:rPr>
          <w:rFonts w:ascii="Bookman Old Style" w:hAnsi="Bookman Old Style"/>
          <w:sz w:val="27"/>
          <w:szCs w:val="27"/>
          <w:lang w:val="es-ES"/>
        </w:rPr>
        <w:t>. Además, los cultivos, los animales en pastoreo y los cerramientos acreditaron el aprovechamiento económico de las zonas ocupadas.</w:t>
      </w:r>
    </w:p>
    <w:p w14:paraId="59205078" w14:textId="77777777" w:rsidR="00453C8A" w:rsidRPr="00D06CB8" w:rsidRDefault="00453C8A" w:rsidP="0056217D">
      <w:pPr>
        <w:widowControl w:val="0"/>
        <w:spacing w:after="0" w:line="360" w:lineRule="auto"/>
        <w:ind w:firstLine="567"/>
        <w:jc w:val="both"/>
        <w:rPr>
          <w:rFonts w:ascii="Bookman Old Style" w:hAnsi="Bookman Old Style"/>
          <w:sz w:val="27"/>
          <w:szCs w:val="27"/>
        </w:rPr>
      </w:pPr>
    </w:p>
    <w:p w14:paraId="35CDDA8C" w14:textId="26C2FF9C" w:rsidR="00453C8A" w:rsidRPr="00D06CB8" w:rsidRDefault="00453C8A" w:rsidP="0056217D">
      <w:pPr>
        <w:pStyle w:val="Prrafodelista"/>
        <w:widowControl w:val="0"/>
        <w:numPr>
          <w:ilvl w:val="0"/>
          <w:numId w:val="9"/>
        </w:numPr>
        <w:spacing w:after="0" w:line="360" w:lineRule="auto"/>
        <w:ind w:left="0" w:firstLine="567"/>
        <w:jc w:val="both"/>
        <w:rPr>
          <w:rFonts w:ascii="Bookman Old Style" w:hAnsi="Bookman Old Style"/>
          <w:sz w:val="27"/>
          <w:szCs w:val="27"/>
        </w:rPr>
      </w:pPr>
      <w:r w:rsidRPr="00D06CB8">
        <w:rPr>
          <w:rFonts w:ascii="Bookman Old Style" w:hAnsi="Bookman Old Style"/>
          <w:sz w:val="27"/>
          <w:szCs w:val="27"/>
        </w:rPr>
        <w:t xml:space="preserve"> </w:t>
      </w:r>
      <w:r w:rsidRPr="00D06CB8">
        <w:rPr>
          <w:rFonts w:ascii="Bookman Old Style" w:hAnsi="Bookman Old Style"/>
          <w:i/>
          <w:iCs/>
          <w:sz w:val="27"/>
          <w:szCs w:val="27"/>
        </w:rPr>
        <w:t>El error de tipo no prosperó</w:t>
      </w:r>
      <w:r w:rsidRPr="00D06CB8">
        <w:rPr>
          <w:rFonts w:ascii="Bookman Old Style" w:hAnsi="Bookman Old Style"/>
          <w:sz w:val="27"/>
          <w:szCs w:val="27"/>
        </w:rPr>
        <w:t xml:space="preserve">. Rechazó la tesis según la cual los acusados creían ocupar terrenos de EPSA y por eso actuaban sin dolo. Explicó que ellos siempre supieron que ocupaban predios ajenos. El verdadero debate no recaía sobre la ajenidad del bien, sino sobre la pretensión defensiva de negar la legitimidad de la querellante. Por eso calificó ese argumento como un distractor dirigido a justificar la invasión y no como una equivocación real sobre los elementos del tipo. </w:t>
      </w:r>
    </w:p>
    <w:p w14:paraId="3C42745B" w14:textId="77777777" w:rsidR="003573B6" w:rsidRPr="00D06CB8" w:rsidRDefault="003573B6" w:rsidP="0056217D">
      <w:pPr>
        <w:pStyle w:val="Prrafodelista"/>
        <w:spacing w:after="0" w:line="360" w:lineRule="auto"/>
        <w:ind w:left="0" w:firstLine="567"/>
        <w:jc w:val="both"/>
        <w:rPr>
          <w:rFonts w:ascii="Bookman Old Style" w:hAnsi="Bookman Old Style"/>
          <w:sz w:val="27"/>
          <w:szCs w:val="27"/>
        </w:rPr>
      </w:pPr>
    </w:p>
    <w:p w14:paraId="576DF5E0" w14:textId="6FE91B96" w:rsidR="00453C8A" w:rsidRPr="00D06CB8" w:rsidRDefault="00520EBC" w:rsidP="6F994DCF">
      <w:pPr>
        <w:pStyle w:val="Prrafodelista"/>
        <w:widowControl w:val="0"/>
        <w:numPr>
          <w:ilvl w:val="0"/>
          <w:numId w:val="9"/>
        </w:numPr>
        <w:spacing w:after="0" w:line="360" w:lineRule="auto"/>
        <w:ind w:left="0" w:firstLine="567"/>
        <w:jc w:val="both"/>
        <w:rPr>
          <w:rFonts w:ascii="Bookman Old Style" w:hAnsi="Bookman Old Style"/>
          <w:sz w:val="27"/>
          <w:szCs w:val="27"/>
          <w:lang w:val="es-ES"/>
        </w:rPr>
      </w:pPr>
      <w:r w:rsidRPr="00D06CB8">
        <w:rPr>
          <w:rFonts w:ascii="Bookman Old Style" w:hAnsi="Bookman Old Style"/>
          <w:i/>
          <w:iCs/>
          <w:sz w:val="27"/>
          <w:szCs w:val="27"/>
          <w:lang w:val="es-ES"/>
        </w:rPr>
        <w:t xml:space="preserve">Prueba </w:t>
      </w:r>
      <w:r w:rsidR="003573B6" w:rsidRPr="00D06CB8">
        <w:rPr>
          <w:rFonts w:ascii="Bookman Old Style" w:hAnsi="Bookman Old Style"/>
          <w:i/>
          <w:iCs/>
          <w:sz w:val="27"/>
          <w:szCs w:val="27"/>
          <w:lang w:val="es-ES"/>
        </w:rPr>
        <w:t>del dolo</w:t>
      </w:r>
      <w:r w:rsidR="00453C8A" w:rsidRPr="00D06CB8">
        <w:rPr>
          <w:rFonts w:ascii="Bookman Old Style" w:hAnsi="Bookman Old Style"/>
          <w:i/>
          <w:iCs/>
          <w:sz w:val="27"/>
          <w:szCs w:val="27"/>
          <w:lang w:val="es-ES"/>
        </w:rPr>
        <w:t>.</w:t>
      </w:r>
      <w:r w:rsidR="003573B6" w:rsidRPr="00D06CB8">
        <w:rPr>
          <w:rFonts w:ascii="Bookman Old Style" w:hAnsi="Bookman Old Style"/>
          <w:sz w:val="27"/>
          <w:szCs w:val="27"/>
          <w:lang w:val="es-ES"/>
        </w:rPr>
        <w:t xml:space="preserve"> L</w:t>
      </w:r>
      <w:r w:rsidR="00453C8A" w:rsidRPr="00D06CB8">
        <w:rPr>
          <w:rFonts w:ascii="Bookman Old Style" w:hAnsi="Bookman Old Style"/>
          <w:sz w:val="27"/>
          <w:szCs w:val="27"/>
          <w:lang w:val="es-ES"/>
        </w:rPr>
        <w:t xml:space="preserve">os acusados actuaron con conocimiento y voluntad. Resaltó que, aun después de la diligencia de entrega material y del proceso policivo que ordenó </w:t>
      </w:r>
      <w:r w:rsidR="00453C8A" w:rsidRPr="00D06CB8">
        <w:rPr>
          <w:rFonts w:ascii="Bookman Old Style" w:hAnsi="Bookman Old Style"/>
          <w:sz w:val="27"/>
          <w:szCs w:val="27"/>
          <w:lang w:val="es-ES"/>
        </w:rPr>
        <w:lastRenderedPageBreak/>
        <w:t xml:space="preserve">a </w:t>
      </w:r>
      <w:r w:rsidR="00453C8A" w:rsidRPr="00D06CB8">
        <w:rPr>
          <w:rFonts w:ascii="Bookman Old Style" w:hAnsi="Bookman Old Style"/>
          <w:smallCaps/>
          <w:sz w:val="27"/>
          <w:szCs w:val="27"/>
          <w:lang w:val="es-ES"/>
        </w:rPr>
        <w:t>Armando Loaiza</w:t>
      </w:r>
      <w:r w:rsidR="0059048F" w:rsidRPr="00D06CB8">
        <w:rPr>
          <w:rFonts w:ascii="Bookman Old Style" w:hAnsi="Bookman Old Style"/>
          <w:smallCaps/>
          <w:sz w:val="27"/>
          <w:szCs w:val="27"/>
          <w:lang w:val="es-ES"/>
        </w:rPr>
        <w:t xml:space="preserve"> Céspedes</w:t>
      </w:r>
      <w:r w:rsidR="00453C8A" w:rsidRPr="00D06CB8">
        <w:rPr>
          <w:rFonts w:ascii="Bookman Old Style" w:hAnsi="Bookman Old Style"/>
          <w:sz w:val="27"/>
          <w:szCs w:val="27"/>
          <w:lang w:val="es-ES"/>
        </w:rPr>
        <w:t xml:space="preserve"> cesar los actos de ocupación, ellos continuaron con la invasión. Para la Sala, esa persistencia mostró conciencia plena sobre la ajenidad del predio y sobre la titularidad de Martha Lucía Montiel Morales. En vez de excluir el dolo, la insistencia en atribuir los terrenos al embalse de</w:t>
      </w:r>
      <w:r w:rsidR="003573B6" w:rsidRPr="00D06CB8">
        <w:rPr>
          <w:rFonts w:ascii="Bookman Old Style" w:hAnsi="Bookman Old Style"/>
          <w:sz w:val="27"/>
          <w:szCs w:val="27"/>
          <w:lang w:val="es-ES"/>
        </w:rPr>
        <w:t xml:space="preserve"> </w:t>
      </w:r>
      <w:r w:rsidR="0067762B" w:rsidRPr="00D06CB8">
        <w:rPr>
          <w:rFonts w:ascii="Bookman Old Style" w:hAnsi="Bookman Old Style"/>
          <w:sz w:val="27"/>
          <w:szCs w:val="27"/>
          <w:lang w:val="es-ES"/>
        </w:rPr>
        <w:t>Hidrop</w:t>
      </w:r>
      <w:r w:rsidR="00453C8A" w:rsidRPr="00D06CB8">
        <w:rPr>
          <w:rFonts w:ascii="Bookman Old Style" w:hAnsi="Bookman Old Style"/>
          <w:sz w:val="27"/>
          <w:szCs w:val="27"/>
          <w:lang w:val="es-ES"/>
        </w:rPr>
        <w:t xml:space="preserve">rado reforzó la conclusión de que los acusados decidieron mantener, de forma arbitraria, la ocupación ilícita. </w:t>
      </w:r>
    </w:p>
    <w:p w14:paraId="268F2A32" w14:textId="77777777" w:rsidR="00453C8A" w:rsidRPr="00D06CB8" w:rsidRDefault="00453C8A" w:rsidP="0056217D">
      <w:pPr>
        <w:widowControl w:val="0"/>
        <w:spacing w:after="0" w:line="360" w:lineRule="auto"/>
        <w:ind w:firstLine="567"/>
        <w:jc w:val="both"/>
        <w:rPr>
          <w:rFonts w:ascii="Bookman Old Style" w:hAnsi="Bookman Old Style"/>
          <w:sz w:val="27"/>
          <w:szCs w:val="27"/>
        </w:rPr>
      </w:pPr>
    </w:p>
    <w:p w14:paraId="71E280A9" w14:textId="191F684E" w:rsidR="00453C8A" w:rsidRPr="00D06CB8" w:rsidRDefault="00453C8A" w:rsidP="0056217D">
      <w:pPr>
        <w:pStyle w:val="Prrafodelista"/>
        <w:widowControl w:val="0"/>
        <w:numPr>
          <w:ilvl w:val="0"/>
          <w:numId w:val="9"/>
        </w:numPr>
        <w:spacing w:after="0" w:line="360" w:lineRule="auto"/>
        <w:ind w:left="0" w:firstLine="567"/>
        <w:jc w:val="both"/>
        <w:rPr>
          <w:rFonts w:ascii="Bookman Old Style" w:hAnsi="Bookman Old Style"/>
          <w:sz w:val="27"/>
          <w:szCs w:val="27"/>
        </w:rPr>
      </w:pPr>
      <w:r w:rsidRPr="00D06CB8">
        <w:rPr>
          <w:rFonts w:ascii="Bookman Old Style" w:hAnsi="Bookman Old Style"/>
          <w:i/>
          <w:iCs/>
          <w:sz w:val="27"/>
          <w:szCs w:val="27"/>
        </w:rPr>
        <w:t>La conducta tuvo carácter arbitrario, violento y lucrativo.</w:t>
      </w:r>
      <w:r w:rsidR="003573B6" w:rsidRPr="00D06CB8">
        <w:rPr>
          <w:rFonts w:ascii="Bookman Old Style" w:hAnsi="Bookman Old Style"/>
          <w:sz w:val="27"/>
          <w:szCs w:val="27"/>
        </w:rPr>
        <w:t xml:space="preserve"> </w:t>
      </w:r>
      <w:r w:rsidR="0067762B" w:rsidRPr="00D06CB8">
        <w:rPr>
          <w:rFonts w:ascii="Bookman Old Style" w:hAnsi="Bookman Old Style"/>
          <w:sz w:val="27"/>
          <w:szCs w:val="27"/>
        </w:rPr>
        <w:t xml:space="preserve">La prueba acreditó amenazas contra </w:t>
      </w:r>
      <w:r w:rsidR="000254B2" w:rsidRPr="00D06CB8">
        <w:rPr>
          <w:rFonts w:ascii="Bookman Old Style" w:hAnsi="Bookman Old Style"/>
          <w:sz w:val="27"/>
          <w:szCs w:val="27"/>
        </w:rPr>
        <w:t xml:space="preserve">los administradores de </w:t>
      </w:r>
      <w:r w:rsidR="0067762B" w:rsidRPr="00D06CB8">
        <w:rPr>
          <w:rFonts w:ascii="Bookman Old Style" w:hAnsi="Bookman Old Style"/>
          <w:sz w:val="27"/>
          <w:szCs w:val="27"/>
        </w:rPr>
        <w:t xml:space="preserve">la finca o </w:t>
      </w:r>
      <w:r w:rsidR="000254B2" w:rsidRPr="00D06CB8">
        <w:rPr>
          <w:rFonts w:ascii="Bookman Old Style" w:hAnsi="Bookman Old Style"/>
          <w:sz w:val="27"/>
          <w:szCs w:val="27"/>
        </w:rPr>
        <w:t xml:space="preserve">de las personas que </w:t>
      </w:r>
      <w:r w:rsidR="0067762B" w:rsidRPr="00D06CB8">
        <w:rPr>
          <w:rFonts w:ascii="Bookman Old Style" w:hAnsi="Bookman Old Style"/>
          <w:sz w:val="27"/>
          <w:szCs w:val="27"/>
        </w:rPr>
        <w:t xml:space="preserve">reclamaban su restitución, y también </w:t>
      </w:r>
      <w:r w:rsidR="00520EBC" w:rsidRPr="00D06CB8">
        <w:rPr>
          <w:rFonts w:ascii="Bookman Old Style" w:hAnsi="Bookman Old Style"/>
          <w:sz w:val="27"/>
          <w:szCs w:val="27"/>
        </w:rPr>
        <w:t xml:space="preserve">indicó </w:t>
      </w:r>
      <w:r w:rsidR="0067762B" w:rsidRPr="00D06CB8">
        <w:rPr>
          <w:rFonts w:ascii="Bookman Old Style" w:hAnsi="Bookman Old Style"/>
          <w:sz w:val="27"/>
          <w:szCs w:val="27"/>
        </w:rPr>
        <w:t xml:space="preserve">que los acusados explotaron económicamente el terreno invadido mediante cultivos, pastoreo, cercas y demás usos productivos de las áreas ocupadas. A partir de ese conjunto probatorio, la Sala concluyó que </w:t>
      </w:r>
      <w:r w:rsidR="007D27A4" w:rsidRPr="00D06CB8">
        <w:rPr>
          <w:rFonts w:ascii="Bookman Old Style" w:hAnsi="Bookman Old Style"/>
          <w:sz w:val="27"/>
          <w:szCs w:val="27"/>
        </w:rPr>
        <w:t xml:space="preserve">su práctica en </w:t>
      </w:r>
      <w:r w:rsidR="0067762B" w:rsidRPr="00D06CB8">
        <w:rPr>
          <w:rFonts w:ascii="Bookman Old Style" w:hAnsi="Bookman Old Style"/>
          <w:sz w:val="27"/>
          <w:szCs w:val="27"/>
        </w:rPr>
        <w:t>el juicio oral sí ofreció el grado de conocimiento requerido y, por esa razón, revocó la absolución.</w:t>
      </w:r>
    </w:p>
    <w:p w14:paraId="1942E854" w14:textId="77777777" w:rsidR="0059048F" w:rsidRPr="00D06CB8" w:rsidRDefault="0059048F" w:rsidP="008F1F87">
      <w:pPr>
        <w:widowControl w:val="0"/>
        <w:spacing w:after="0" w:line="360" w:lineRule="auto"/>
        <w:jc w:val="both"/>
        <w:rPr>
          <w:rFonts w:ascii="Bookman Old Style" w:hAnsi="Bookman Old Style"/>
          <w:sz w:val="27"/>
          <w:szCs w:val="27"/>
        </w:rPr>
      </w:pPr>
    </w:p>
    <w:p w14:paraId="02AB1F1A" w14:textId="77777777" w:rsidR="009236CA" w:rsidRPr="00D06CB8" w:rsidRDefault="009236CA" w:rsidP="0056217D">
      <w:pPr>
        <w:pStyle w:val="Textoindependiente"/>
        <w:spacing w:after="0" w:line="360" w:lineRule="auto"/>
        <w:ind w:firstLine="567"/>
        <w:jc w:val="center"/>
        <w:rPr>
          <w:rFonts w:ascii="Bookman Old Style" w:hAnsi="Bookman Old Style"/>
          <w:b/>
          <w:color w:val="000000"/>
          <w:sz w:val="27"/>
          <w:szCs w:val="27"/>
        </w:rPr>
      </w:pPr>
      <w:r w:rsidRPr="00D06CB8">
        <w:rPr>
          <w:rFonts w:ascii="Bookman Old Style" w:hAnsi="Bookman Old Style"/>
          <w:b/>
          <w:color w:val="000000"/>
          <w:sz w:val="27"/>
          <w:szCs w:val="27"/>
        </w:rPr>
        <w:t>V. LA IMPUGNACIÓN INTERPUESTA</w:t>
      </w:r>
    </w:p>
    <w:p w14:paraId="79D4DDDE" w14:textId="77777777" w:rsidR="009236CA" w:rsidRPr="00D06CB8" w:rsidRDefault="009236CA" w:rsidP="0056217D">
      <w:pPr>
        <w:pStyle w:val="Textoindependiente"/>
        <w:spacing w:after="0" w:line="360" w:lineRule="auto"/>
        <w:ind w:firstLine="567"/>
        <w:jc w:val="both"/>
        <w:rPr>
          <w:rFonts w:ascii="Bookman Old Style" w:hAnsi="Bookman Old Style"/>
          <w:b/>
          <w:color w:val="000000"/>
          <w:sz w:val="27"/>
          <w:szCs w:val="27"/>
        </w:rPr>
      </w:pPr>
    </w:p>
    <w:p w14:paraId="76507B0B" w14:textId="1A065064" w:rsidR="009236CA" w:rsidRPr="00D06CB8" w:rsidRDefault="009236CA" w:rsidP="0056217D">
      <w:pPr>
        <w:pStyle w:val="Textoindependiente"/>
        <w:spacing w:after="0" w:line="360" w:lineRule="auto"/>
        <w:ind w:firstLine="567"/>
        <w:jc w:val="both"/>
        <w:rPr>
          <w:rFonts w:ascii="Bookman Old Style" w:hAnsi="Bookman Old Style"/>
          <w:color w:val="000000" w:themeColor="text1"/>
          <w:sz w:val="27"/>
          <w:szCs w:val="27"/>
        </w:rPr>
      </w:pPr>
      <w:r w:rsidRPr="00D06CB8">
        <w:rPr>
          <w:rFonts w:ascii="Bookman Old Style" w:hAnsi="Bookman Old Style"/>
          <w:color w:val="000000" w:themeColor="text1"/>
          <w:sz w:val="27"/>
          <w:szCs w:val="27"/>
        </w:rPr>
        <w:t xml:space="preserve">La defensa </w:t>
      </w:r>
      <w:r w:rsidR="0037104F" w:rsidRPr="00D06CB8">
        <w:rPr>
          <w:rFonts w:ascii="Bookman Old Style" w:hAnsi="Bookman Old Style"/>
          <w:color w:val="000000" w:themeColor="text1"/>
          <w:sz w:val="27"/>
          <w:szCs w:val="27"/>
        </w:rPr>
        <w:t xml:space="preserve">de los procesados </w:t>
      </w:r>
      <w:r w:rsidRPr="00D06CB8">
        <w:rPr>
          <w:rFonts w:ascii="Bookman Old Style" w:hAnsi="Bookman Old Style"/>
          <w:color w:val="000000" w:themeColor="text1"/>
          <w:sz w:val="27"/>
          <w:szCs w:val="27"/>
        </w:rPr>
        <w:t>solicit</w:t>
      </w:r>
      <w:r w:rsidR="00520EBC" w:rsidRPr="00D06CB8">
        <w:rPr>
          <w:rFonts w:ascii="Bookman Old Style" w:hAnsi="Bookman Old Style"/>
          <w:color w:val="000000" w:themeColor="text1"/>
          <w:sz w:val="27"/>
          <w:szCs w:val="27"/>
        </w:rPr>
        <w:t>ó</w:t>
      </w:r>
      <w:r w:rsidRPr="00D06CB8">
        <w:rPr>
          <w:rFonts w:ascii="Bookman Old Style" w:hAnsi="Bookman Old Style"/>
          <w:color w:val="000000" w:themeColor="text1"/>
          <w:sz w:val="27"/>
          <w:szCs w:val="27"/>
        </w:rPr>
        <w:t xml:space="preserve"> a la Corte </w:t>
      </w:r>
      <w:r w:rsidR="00596CBF" w:rsidRPr="00D06CB8">
        <w:rPr>
          <w:rFonts w:ascii="Bookman Old Style" w:hAnsi="Bookman Old Style"/>
          <w:color w:val="000000" w:themeColor="text1"/>
          <w:sz w:val="27"/>
          <w:szCs w:val="27"/>
        </w:rPr>
        <w:t>revocar</w:t>
      </w:r>
      <w:r w:rsidRPr="00D06CB8">
        <w:rPr>
          <w:rFonts w:ascii="Bookman Old Style" w:hAnsi="Bookman Old Style"/>
          <w:color w:val="000000" w:themeColor="text1"/>
          <w:sz w:val="27"/>
          <w:szCs w:val="27"/>
        </w:rPr>
        <w:t xml:space="preserve"> </w:t>
      </w:r>
      <w:r w:rsidR="007F5907" w:rsidRPr="00D06CB8">
        <w:rPr>
          <w:rFonts w:ascii="Bookman Old Style" w:hAnsi="Bookman Old Style"/>
          <w:color w:val="000000" w:themeColor="text1"/>
          <w:sz w:val="27"/>
          <w:szCs w:val="27"/>
        </w:rPr>
        <w:t xml:space="preserve">la sentencia </w:t>
      </w:r>
      <w:r w:rsidRPr="00D06CB8">
        <w:rPr>
          <w:rFonts w:ascii="Bookman Old Style" w:hAnsi="Bookman Old Style"/>
          <w:color w:val="000000" w:themeColor="text1"/>
          <w:sz w:val="27"/>
          <w:szCs w:val="27"/>
        </w:rPr>
        <w:t>proferid</w:t>
      </w:r>
      <w:r w:rsidR="007F5907" w:rsidRPr="00D06CB8">
        <w:rPr>
          <w:rFonts w:ascii="Bookman Old Style" w:hAnsi="Bookman Old Style"/>
          <w:color w:val="000000" w:themeColor="text1"/>
          <w:sz w:val="27"/>
          <w:szCs w:val="27"/>
        </w:rPr>
        <w:t>a</w:t>
      </w:r>
      <w:r w:rsidRPr="00D06CB8">
        <w:rPr>
          <w:rFonts w:ascii="Bookman Old Style" w:hAnsi="Bookman Old Style"/>
          <w:color w:val="000000" w:themeColor="text1"/>
          <w:sz w:val="27"/>
          <w:szCs w:val="27"/>
        </w:rPr>
        <w:t xml:space="preserve"> por el Tribunal, con fundamento en los siguientes argumentos: </w:t>
      </w:r>
    </w:p>
    <w:p w14:paraId="3D94C94B" w14:textId="77777777" w:rsidR="006B0492" w:rsidRPr="00D06CB8" w:rsidRDefault="006B0492" w:rsidP="0056217D">
      <w:pPr>
        <w:pStyle w:val="Textoindependiente"/>
        <w:spacing w:after="0" w:line="360" w:lineRule="auto"/>
        <w:ind w:firstLine="567"/>
        <w:jc w:val="both"/>
        <w:rPr>
          <w:rFonts w:ascii="Bookman Old Style" w:hAnsi="Bookman Old Style"/>
          <w:color w:val="000000"/>
          <w:sz w:val="27"/>
          <w:szCs w:val="27"/>
        </w:rPr>
      </w:pPr>
    </w:p>
    <w:p w14:paraId="1977D7F4" w14:textId="548415B6" w:rsidR="0059048F" w:rsidRPr="00D06CB8" w:rsidRDefault="0059048F" w:rsidP="0056217D">
      <w:pPr>
        <w:pStyle w:val="Textoindependiente"/>
        <w:spacing w:after="0" w:line="360" w:lineRule="auto"/>
        <w:ind w:firstLine="567"/>
        <w:jc w:val="both"/>
        <w:rPr>
          <w:rFonts w:ascii="Bookman Old Style" w:hAnsi="Bookman Old Style"/>
          <w:color w:val="000000"/>
          <w:sz w:val="27"/>
          <w:szCs w:val="27"/>
          <w:lang w:val="es-CO"/>
        </w:rPr>
      </w:pPr>
      <w:r w:rsidRPr="00D06CB8">
        <w:rPr>
          <w:rFonts w:ascii="Bookman Old Style" w:hAnsi="Bookman Old Style"/>
          <w:color w:val="000000"/>
          <w:sz w:val="27"/>
          <w:szCs w:val="27"/>
          <w:lang w:val="es-CO"/>
        </w:rPr>
        <w:t xml:space="preserve">1. </w:t>
      </w:r>
      <w:r w:rsidRPr="00D06CB8">
        <w:rPr>
          <w:rFonts w:ascii="Bookman Old Style" w:hAnsi="Bookman Old Style"/>
          <w:i/>
          <w:iCs/>
          <w:color w:val="000000"/>
          <w:sz w:val="27"/>
          <w:szCs w:val="27"/>
          <w:lang w:val="es-CO"/>
        </w:rPr>
        <w:t>Error</w:t>
      </w:r>
      <w:r w:rsidR="002A286F" w:rsidRPr="00D06CB8">
        <w:rPr>
          <w:rFonts w:ascii="Bookman Old Style" w:hAnsi="Bookman Old Style"/>
          <w:i/>
          <w:iCs/>
          <w:color w:val="000000"/>
          <w:sz w:val="27"/>
          <w:szCs w:val="27"/>
          <w:lang w:val="es-CO"/>
        </w:rPr>
        <w:t xml:space="preserve"> de tipo invencible</w:t>
      </w:r>
      <w:r w:rsidRPr="00D06CB8">
        <w:rPr>
          <w:rFonts w:ascii="Bookman Old Style" w:hAnsi="Bookman Old Style"/>
          <w:i/>
          <w:iCs/>
          <w:color w:val="000000"/>
          <w:sz w:val="27"/>
          <w:szCs w:val="27"/>
          <w:lang w:val="es-CO"/>
        </w:rPr>
        <w:t xml:space="preserve"> sobre la pertenencia de los terrenos</w:t>
      </w:r>
      <w:r w:rsidRPr="00D06CB8">
        <w:rPr>
          <w:rFonts w:ascii="Bookman Old Style" w:hAnsi="Bookman Old Style"/>
          <w:color w:val="000000"/>
          <w:sz w:val="27"/>
          <w:szCs w:val="27"/>
          <w:lang w:val="es-CO"/>
        </w:rPr>
        <w:t xml:space="preserve">. </w:t>
      </w:r>
      <w:r w:rsidR="002A286F" w:rsidRPr="00D06CB8">
        <w:rPr>
          <w:rFonts w:ascii="Bookman Old Style" w:hAnsi="Bookman Old Style"/>
          <w:color w:val="000000"/>
          <w:sz w:val="27"/>
          <w:szCs w:val="27"/>
          <w:lang w:val="es-CO"/>
        </w:rPr>
        <w:t>S</w:t>
      </w:r>
      <w:r w:rsidRPr="00D06CB8">
        <w:rPr>
          <w:rFonts w:ascii="Bookman Old Style" w:hAnsi="Bookman Old Style"/>
          <w:color w:val="000000"/>
          <w:sz w:val="27"/>
          <w:szCs w:val="27"/>
          <w:lang w:val="es-CO"/>
        </w:rPr>
        <w:t xml:space="preserve">ostuvo que los acusados nunca creyeron ocupar áreas de propiedad de Martha Lucía Montiel Morales. Afirmó que siempre entendieron que cultivaban terrenos ubicados por debajo de la cota 367, dentro de la zona inundable de la represa de Hidroprado. Para reforzar esa tesis, aludió a los mojones o </w:t>
      </w:r>
      <w:r w:rsidRPr="00D06CB8">
        <w:rPr>
          <w:rFonts w:ascii="Bookman Old Style" w:hAnsi="Bookman Old Style"/>
          <w:color w:val="000000"/>
          <w:sz w:val="27"/>
          <w:szCs w:val="27"/>
          <w:lang w:val="es-CO"/>
        </w:rPr>
        <w:lastRenderedPageBreak/>
        <w:t>puntos de referencia instalados en la zona, pues, a su juicio, esos hitos llevaron a los procesados a identificar la franja ocupada como terreno de la empresa energética y no como predio particular.</w:t>
      </w:r>
    </w:p>
    <w:p w14:paraId="25A46257" w14:textId="77777777" w:rsidR="0059048F" w:rsidRPr="00D06CB8" w:rsidRDefault="0059048F" w:rsidP="0056217D">
      <w:pPr>
        <w:pStyle w:val="Textoindependiente"/>
        <w:spacing w:after="0" w:line="360" w:lineRule="auto"/>
        <w:ind w:firstLine="567"/>
        <w:jc w:val="both"/>
        <w:rPr>
          <w:rFonts w:ascii="Bookman Old Style" w:hAnsi="Bookman Old Style"/>
          <w:color w:val="000000"/>
          <w:sz w:val="27"/>
          <w:szCs w:val="27"/>
          <w:lang w:val="es-CO"/>
        </w:rPr>
      </w:pPr>
    </w:p>
    <w:p w14:paraId="2E5D6E03" w14:textId="563CA880" w:rsidR="0059048F" w:rsidRPr="00D06CB8" w:rsidRDefault="0059048F" w:rsidP="0056217D">
      <w:pPr>
        <w:pStyle w:val="Textoindependiente"/>
        <w:spacing w:after="0" w:line="360" w:lineRule="auto"/>
        <w:ind w:firstLine="567"/>
        <w:jc w:val="both"/>
        <w:rPr>
          <w:rFonts w:ascii="Bookman Old Style" w:hAnsi="Bookman Old Style"/>
          <w:color w:val="000000"/>
          <w:sz w:val="27"/>
          <w:szCs w:val="27"/>
          <w:lang w:val="es-CO"/>
        </w:rPr>
      </w:pPr>
      <w:r w:rsidRPr="00D06CB8">
        <w:rPr>
          <w:rFonts w:ascii="Bookman Old Style" w:hAnsi="Bookman Old Style"/>
          <w:color w:val="000000"/>
          <w:sz w:val="27"/>
          <w:szCs w:val="27"/>
          <w:lang w:val="es-CO"/>
        </w:rPr>
        <w:t xml:space="preserve">2. </w:t>
      </w:r>
      <w:r w:rsidRPr="00D06CB8">
        <w:rPr>
          <w:rFonts w:ascii="Bookman Old Style" w:hAnsi="Bookman Old Style"/>
          <w:i/>
          <w:iCs/>
          <w:color w:val="000000"/>
          <w:sz w:val="27"/>
          <w:szCs w:val="27"/>
          <w:lang w:val="es-CO"/>
        </w:rPr>
        <w:t>Acta de entrega y ocupación previa</w:t>
      </w:r>
      <w:r w:rsidRPr="00D06CB8">
        <w:rPr>
          <w:rFonts w:ascii="Bookman Old Style" w:hAnsi="Bookman Old Style"/>
          <w:color w:val="000000"/>
          <w:sz w:val="27"/>
          <w:szCs w:val="27"/>
          <w:lang w:val="es-CO"/>
        </w:rPr>
        <w:t xml:space="preserve">. </w:t>
      </w:r>
      <w:r w:rsidR="002A286F" w:rsidRPr="00D06CB8">
        <w:rPr>
          <w:rFonts w:ascii="Bookman Old Style" w:hAnsi="Bookman Old Style"/>
          <w:color w:val="000000"/>
          <w:sz w:val="27"/>
          <w:szCs w:val="27"/>
          <w:lang w:val="es-CO"/>
        </w:rPr>
        <w:t>E</w:t>
      </w:r>
      <w:r w:rsidRPr="00D06CB8">
        <w:rPr>
          <w:rFonts w:ascii="Bookman Old Style" w:hAnsi="Bookman Old Style"/>
          <w:color w:val="000000"/>
          <w:sz w:val="27"/>
          <w:szCs w:val="27"/>
          <w:lang w:val="es-CO"/>
        </w:rPr>
        <w:t xml:space="preserve">l acta de entrega del 31 de enero de 2014 mostraba que, cuando la querellante recibió materialmente la finca, los acusados ya ocupaban y explotaban esos terrenos. Añadió que, en esa diligencia, ellos manifestaron que esas áreas no hacían parte de </w:t>
      </w:r>
      <w:r w:rsidR="000B36FD" w:rsidRPr="00D06CB8">
        <w:rPr>
          <w:rFonts w:ascii="Bookman Old Style" w:hAnsi="Bookman Old Style"/>
          <w:color w:val="000000"/>
          <w:sz w:val="27"/>
          <w:szCs w:val="27"/>
          <w:lang w:val="es-CO"/>
        </w:rPr>
        <w:t>“</w:t>
      </w:r>
      <w:r w:rsidRPr="00D06CB8">
        <w:rPr>
          <w:rFonts w:ascii="Bookman Old Style" w:hAnsi="Bookman Old Style"/>
          <w:color w:val="000000"/>
          <w:sz w:val="27"/>
          <w:szCs w:val="27"/>
          <w:lang w:val="es-CO"/>
        </w:rPr>
        <w:t>Las Mercedes</w:t>
      </w:r>
      <w:r w:rsidR="000B36FD" w:rsidRPr="00D06CB8">
        <w:rPr>
          <w:rFonts w:ascii="Bookman Old Style" w:hAnsi="Bookman Old Style"/>
          <w:color w:val="000000"/>
          <w:sz w:val="27"/>
          <w:szCs w:val="27"/>
          <w:lang w:val="es-CO"/>
        </w:rPr>
        <w:t>”</w:t>
      </w:r>
      <w:r w:rsidRPr="00D06CB8">
        <w:rPr>
          <w:rFonts w:ascii="Bookman Old Style" w:hAnsi="Bookman Old Style"/>
          <w:color w:val="000000"/>
          <w:sz w:val="27"/>
          <w:szCs w:val="27"/>
          <w:lang w:val="es-CO"/>
        </w:rPr>
        <w:t>, sino que pertenecían a EPSA. A partir de ese dato, sostuvo que no existió una invasión posterior a la entrega, sino una ocupación anterior que los procesados siempre atribuyeron a terrenos de la represa.</w:t>
      </w:r>
    </w:p>
    <w:p w14:paraId="51522ABA" w14:textId="77777777" w:rsidR="0059048F" w:rsidRPr="00D06CB8" w:rsidRDefault="0059048F" w:rsidP="0056217D">
      <w:pPr>
        <w:pStyle w:val="Textoindependiente"/>
        <w:spacing w:after="0" w:line="360" w:lineRule="auto"/>
        <w:ind w:firstLine="567"/>
        <w:jc w:val="both"/>
        <w:rPr>
          <w:rFonts w:ascii="Bookman Old Style" w:hAnsi="Bookman Old Style"/>
          <w:color w:val="000000"/>
          <w:sz w:val="27"/>
          <w:szCs w:val="27"/>
          <w:lang w:val="es-CO"/>
        </w:rPr>
      </w:pPr>
    </w:p>
    <w:p w14:paraId="583DFFE7" w14:textId="20A87E8B" w:rsidR="0059048F" w:rsidRPr="00D06CB8" w:rsidRDefault="0059048F" w:rsidP="0056217D">
      <w:pPr>
        <w:pStyle w:val="Textoindependiente"/>
        <w:spacing w:after="0" w:line="360" w:lineRule="auto"/>
        <w:ind w:firstLine="567"/>
        <w:jc w:val="both"/>
        <w:rPr>
          <w:rFonts w:ascii="Bookman Old Style" w:hAnsi="Bookman Old Style"/>
          <w:color w:val="000000"/>
          <w:sz w:val="27"/>
          <w:szCs w:val="27"/>
          <w:lang w:val="es-CO"/>
        </w:rPr>
      </w:pPr>
      <w:r w:rsidRPr="00D06CB8">
        <w:rPr>
          <w:rFonts w:ascii="Bookman Old Style" w:hAnsi="Bookman Old Style"/>
          <w:color w:val="000000"/>
          <w:sz w:val="27"/>
          <w:szCs w:val="27"/>
          <w:lang w:val="es-CO"/>
        </w:rPr>
        <w:t xml:space="preserve">3. </w:t>
      </w:r>
      <w:r w:rsidRPr="00D06CB8">
        <w:rPr>
          <w:rFonts w:ascii="Bookman Old Style" w:hAnsi="Bookman Old Style"/>
          <w:i/>
          <w:iCs/>
          <w:color w:val="000000"/>
          <w:sz w:val="27"/>
          <w:szCs w:val="27"/>
          <w:lang w:val="es-CO"/>
        </w:rPr>
        <w:t>Ausencia de dolo.</w:t>
      </w:r>
      <w:r w:rsidRPr="00D06CB8">
        <w:rPr>
          <w:rFonts w:ascii="Bookman Old Style" w:hAnsi="Bookman Old Style"/>
          <w:color w:val="000000"/>
          <w:sz w:val="27"/>
          <w:szCs w:val="27"/>
          <w:lang w:val="es-CO"/>
        </w:rPr>
        <w:t xml:space="preserve"> </w:t>
      </w:r>
      <w:r w:rsidR="002A286F" w:rsidRPr="00D06CB8">
        <w:rPr>
          <w:rFonts w:ascii="Bookman Old Style" w:hAnsi="Bookman Old Style"/>
          <w:color w:val="000000"/>
          <w:sz w:val="27"/>
          <w:szCs w:val="27"/>
          <w:lang w:val="es-CO"/>
        </w:rPr>
        <w:t>L</w:t>
      </w:r>
      <w:r w:rsidRPr="00D06CB8">
        <w:rPr>
          <w:rFonts w:ascii="Bookman Old Style" w:hAnsi="Bookman Old Style"/>
          <w:color w:val="000000"/>
          <w:sz w:val="27"/>
          <w:szCs w:val="27"/>
          <w:lang w:val="es-CO"/>
        </w:rPr>
        <w:t>os acusados no actuaron con voluntad de invadir</w:t>
      </w:r>
      <w:r w:rsidR="008D3F4E" w:rsidRPr="00D06CB8">
        <w:rPr>
          <w:rFonts w:ascii="Bookman Old Style" w:hAnsi="Bookman Old Style"/>
          <w:color w:val="000000"/>
          <w:sz w:val="27"/>
          <w:szCs w:val="27"/>
          <w:lang w:val="es-CO"/>
        </w:rPr>
        <w:t xml:space="preserve"> un</w:t>
      </w:r>
      <w:r w:rsidRPr="00D06CB8">
        <w:rPr>
          <w:rFonts w:ascii="Bookman Old Style" w:hAnsi="Bookman Old Style"/>
          <w:color w:val="000000"/>
          <w:sz w:val="27"/>
          <w:szCs w:val="27"/>
          <w:lang w:val="es-CO"/>
        </w:rPr>
        <w:t xml:space="preserve"> bien ajeno. Según su planteamiento, ellos jamás entendieron que los cultivos, cercas y animales quedaran dentro de los linderos de </w:t>
      </w:r>
      <w:r w:rsidR="000B36FD" w:rsidRPr="00D06CB8">
        <w:rPr>
          <w:rFonts w:ascii="Bookman Old Style" w:hAnsi="Bookman Old Style"/>
          <w:color w:val="000000"/>
          <w:sz w:val="27"/>
          <w:szCs w:val="27"/>
          <w:lang w:val="es-CO"/>
        </w:rPr>
        <w:t>“</w:t>
      </w:r>
      <w:r w:rsidRPr="00D06CB8">
        <w:rPr>
          <w:rFonts w:ascii="Bookman Old Style" w:hAnsi="Bookman Old Style"/>
          <w:color w:val="000000"/>
          <w:sz w:val="27"/>
          <w:szCs w:val="27"/>
          <w:lang w:val="es-CO"/>
        </w:rPr>
        <w:t>Las Mercedes</w:t>
      </w:r>
      <w:r w:rsidR="000B36FD" w:rsidRPr="00D06CB8">
        <w:rPr>
          <w:rFonts w:ascii="Bookman Old Style" w:hAnsi="Bookman Old Style"/>
          <w:color w:val="000000"/>
          <w:sz w:val="27"/>
          <w:szCs w:val="27"/>
          <w:lang w:val="es-CO"/>
        </w:rPr>
        <w:t>”</w:t>
      </w:r>
      <w:r w:rsidRPr="00D06CB8">
        <w:rPr>
          <w:rFonts w:ascii="Bookman Old Style" w:hAnsi="Bookman Old Style"/>
          <w:color w:val="000000"/>
          <w:sz w:val="27"/>
          <w:szCs w:val="27"/>
          <w:lang w:val="es-CO"/>
        </w:rPr>
        <w:t xml:space="preserve">, porque varias familias trabajaban históricamente </w:t>
      </w:r>
      <w:r w:rsidR="008D3F4E" w:rsidRPr="00D06CB8">
        <w:rPr>
          <w:rFonts w:ascii="Bookman Old Style" w:hAnsi="Bookman Old Style"/>
          <w:color w:val="000000"/>
          <w:sz w:val="27"/>
          <w:szCs w:val="27"/>
          <w:lang w:val="es-CO"/>
        </w:rPr>
        <w:t xml:space="preserve">en </w:t>
      </w:r>
      <w:r w:rsidRPr="00D06CB8">
        <w:rPr>
          <w:rFonts w:ascii="Bookman Old Style" w:hAnsi="Bookman Old Style"/>
          <w:color w:val="000000"/>
          <w:sz w:val="27"/>
          <w:szCs w:val="27"/>
          <w:lang w:val="es-CO"/>
        </w:rPr>
        <w:t>esas franjas y, por esa práctica prolongada, las tenían por terrenos de la represa</w:t>
      </w:r>
      <w:r w:rsidR="002A286F" w:rsidRPr="00D06CB8">
        <w:rPr>
          <w:rFonts w:ascii="Bookman Old Style" w:hAnsi="Bookman Old Style"/>
          <w:color w:val="000000"/>
          <w:sz w:val="27"/>
          <w:szCs w:val="27"/>
          <w:lang w:val="es-CO"/>
        </w:rPr>
        <w:t xml:space="preserve">, </w:t>
      </w:r>
      <w:r w:rsidRPr="00D06CB8">
        <w:rPr>
          <w:rFonts w:ascii="Bookman Old Style" w:hAnsi="Bookman Old Style"/>
          <w:color w:val="000000"/>
          <w:sz w:val="27"/>
          <w:szCs w:val="27"/>
          <w:lang w:val="es-CO"/>
        </w:rPr>
        <w:t>por</w:t>
      </w:r>
      <w:r w:rsidR="002A286F" w:rsidRPr="00D06CB8">
        <w:rPr>
          <w:rFonts w:ascii="Bookman Old Style" w:hAnsi="Bookman Old Style"/>
          <w:color w:val="000000"/>
          <w:sz w:val="27"/>
          <w:szCs w:val="27"/>
          <w:lang w:val="es-CO"/>
        </w:rPr>
        <w:t xml:space="preserve"> lo</w:t>
      </w:r>
      <w:r w:rsidRPr="00D06CB8">
        <w:rPr>
          <w:rFonts w:ascii="Bookman Old Style" w:hAnsi="Bookman Old Style"/>
          <w:color w:val="000000"/>
          <w:sz w:val="27"/>
          <w:szCs w:val="27"/>
          <w:lang w:val="es-CO"/>
        </w:rPr>
        <w:t xml:space="preserve"> tanto, descartó el dolo exigido por el tipo penal.</w:t>
      </w:r>
    </w:p>
    <w:p w14:paraId="5D8F350E" w14:textId="77777777" w:rsidR="0059048F" w:rsidRPr="00D06CB8" w:rsidRDefault="0059048F" w:rsidP="0056217D">
      <w:pPr>
        <w:pStyle w:val="Textoindependiente"/>
        <w:spacing w:after="0" w:line="360" w:lineRule="auto"/>
        <w:ind w:firstLine="567"/>
        <w:jc w:val="both"/>
        <w:rPr>
          <w:rFonts w:ascii="Bookman Old Style" w:hAnsi="Bookman Old Style"/>
          <w:color w:val="000000"/>
          <w:sz w:val="27"/>
          <w:szCs w:val="27"/>
          <w:lang w:val="es-CO"/>
        </w:rPr>
      </w:pPr>
    </w:p>
    <w:p w14:paraId="11385C30" w14:textId="57B52F1D" w:rsidR="0059048F" w:rsidRPr="00D06CB8" w:rsidRDefault="0059048F" w:rsidP="0056217D">
      <w:pPr>
        <w:pStyle w:val="Textoindependiente"/>
        <w:spacing w:after="0" w:line="360" w:lineRule="auto"/>
        <w:ind w:firstLine="567"/>
        <w:jc w:val="both"/>
        <w:rPr>
          <w:rFonts w:ascii="Bookman Old Style" w:hAnsi="Bookman Old Style"/>
          <w:color w:val="000000"/>
          <w:sz w:val="27"/>
          <w:szCs w:val="27"/>
          <w:lang w:val="es-CO"/>
        </w:rPr>
      </w:pPr>
      <w:r w:rsidRPr="00D06CB8">
        <w:rPr>
          <w:rFonts w:ascii="Bookman Old Style" w:hAnsi="Bookman Old Style"/>
          <w:color w:val="000000"/>
          <w:sz w:val="27"/>
          <w:szCs w:val="27"/>
          <w:lang w:val="es-CO"/>
        </w:rPr>
        <w:t xml:space="preserve">4. </w:t>
      </w:r>
      <w:r w:rsidRPr="00D06CB8">
        <w:rPr>
          <w:rFonts w:ascii="Bookman Old Style" w:hAnsi="Bookman Old Style"/>
          <w:i/>
          <w:iCs/>
          <w:color w:val="000000"/>
          <w:sz w:val="27"/>
          <w:szCs w:val="27"/>
          <w:lang w:val="es-CO"/>
        </w:rPr>
        <w:t>Atipicidad y falta de prueba suficiente</w:t>
      </w:r>
      <w:r w:rsidRPr="00D06CB8">
        <w:rPr>
          <w:rFonts w:ascii="Bookman Old Style" w:hAnsi="Bookman Old Style"/>
          <w:color w:val="000000"/>
          <w:sz w:val="27"/>
          <w:szCs w:val="27"/>
          <w:lang w:val="es-CO"/>
        </w:rPr>
        <w:t xml:space="preserve">. </w:t>
      </w:r>
      <w:r w:rsidR="002A286F" w:rsidRPr="00D06CB8">
        <w:rPr>
          <w:rFonts w:ascii="Bookman Old Style" w:hAnsi="Bookman Old Style"/>
          <w:color w:val="000000"/>
          <w:sz w:val="27"/>
          <w:szCs w:val="27"/>
          <w:lang w:val="es-CO"/>
        </w:rPr>
        <w:t>L</w:t>
      </w:r>
      <w:r w:rsidRPr="00D06CB8">
        <w:rPr>
          <w:rFonts w:ascii="Bookman Old Style" w:hAnsi="Bookman Old Style"/>
          <w:color w:val="000000"/>
          <w:sz w:val="27"/>
          <w:szCs w:val="27"/>
          <w:lang w:val="es-CO"/>
        </w:rPr>
        <w:t xml:space="preserve">a conducta resulta atípica, porque el delito exigía la invasión de inmueble ajeno y, para cuando Martha Lucía Montiel Morales adquirió la finca y recibió su entrega material, los acusados ya ocupaban los terrenos en disputa. Agregó que la Fiscalía no probó con suficiencia el dolo ni estableció la fecha desde la cual comenzó esa ocupación. Con base en esas razones, pidió </w:t>
      </w:r>
      <w:r w:rsidR="002A286F" w:rsidRPr="00D06CB8">
        <w:rPr>
          <w:rFonts w:ascii="Bookman Old Style" w:hAnsi="Bookman Old Style"/>
          <w:color w:val="000000"/>
          <w:sz w:val="27"/>
          <w:szCs w:val="27"/>
          <w:lang w:val="es-CO"/>
        </w:rPr>
        <w:t xml:space="preserve">revocar el fallo </w:t>
      </w:r>
      <w:r w:rsidR="002A286F" w:rsidRPr="00D06CB8">
        <w:rPr>
          <w:rFonts w:ascii="Bookman Old Style" w:hAnsi="Bookman Old Style"/>
          <w:color w:val="000000"/>
          <w:sz w:val="27"/>
          <w:szCs w:val="27"/>
          <w:lang w:val="es-CO"/>
        </w:rPr>
        <w:lastRenderedPageBreak/>
        <w:t>de primera instancia, y mantener</w:t>
      </w:r>
      <w:r w:rsidRPr="00D06CB8">
        <w:rPr>
          <w:rFonts w:ascii="Bookman Old Style" w:hAnsi="Bookman Old Style"/>
          <w:color w:val="000000"/>
          <w:sz w:val="27"/>
          <w:szCs w:val="27"/>
          <w:lang w:val="es-CO"/>
        </w:rPr>
        <w:t xml:space="preserve"> la absolución de los tres procesados.</w:t>
      </w:r>
    </w:p>
    <w:p w14:paraId="6E9B7F4A" w14:textId="77777777" w:rsidR="002A286F" w:rsidRPr="00D06CB8" w:rsidRDefault="002A286F" w:rsidP="0056217D">
      <w:pPr>
        <w:pStyle w:val="Textoindependiente"/>
        <w:spacing w:after="0" w:line="360" w:lineRule="auto"/>
        <w:ind w:firstLine="567"/>
        <w:jc w:val="center"/>
        <w:rPr>
          <w:rFonts w:ascii="Bookman Old Style" w:hAnsi="Bookman Old Style"/>
          <w:i/>
          <w:iCs/>
          <w:color w:val="000000"/>
          <w:sz w:val="27"/>
          <w:szCs w:val="27"/>
        </w:rPr>
      </w:pPr>
    </w:p>
    <w:p w14:paraId="724185FE" w14:textId="14DAAD0C" w:rsidR="00906ECE" w:rsidRPr="00D06CB8" w:rsidRDefault="00906ECE" w:rsidP="0056217D">
      <w:pPr>
        <w:pStyle w:val="Textoindependiente"/>
        <w:spacing w:after="0" w:line="360" w:lineRule="auto"/>
        <w:ind w:firstLine="567"/>
        <w:jc w:val="center"/>
        <w:rPr>
          <w:rFonts w:ascii="Bookman Old Style" w:hAnsi="Bookman Old Style"/>
          <w:b/>
          <w:color w:val="000000"/>
          <w:sz w:val="27"/>
          <w:szCs w:val="27"/>
        </w:rPr>
      </w:pPr>
      <w:r w:rsidRPr="00D06CB8">
        <w:rPr>
          <w:rFonts w:ascii="Bookman Old Style" w:hAnsi="Bookman Old Style"/>
          <w:b/>
          <w:color w:val="000000"/>
          <w:sz w:val="27"/>
          <w:szCs w:val="27"/>
        </w:rPr>
        <w:t>VI. IN</w:t>
      </w:r>
      <w:r w:rsidR="005F6633" w:rsidRPr="00D06CB8">
        <w:rPr>
          <w:rFonts w:ascii="Bookman Old Style" w:hAnsi="Bookman Old Style"/>
          <w:b/>
          <w:color w:val="000000"/>
          <w:sz w:val="27"/>
          <w:szCs w:val="27"/>
        </w:rPr>
        <w:t>TER</w:t>
      </w:r>
      <w:r w:rsidRPr="00D06CB8">
        <w:rPr>
          <w:rFonts w:ascii="Bookman Old Style" w:hAnsi="Bookman Old Style"/>
          <w:b/>
          <w:color w:val="000000"/>
          <w:sz w:val="27"/>
          <w:szCs w:val="27"/>
        </w:rPr>
        <w:t xml:space="preserve">VENCIÓN </w:t>
      </w:r>
      <w:r w:rsidR="007D27A4" w:rsidRPr="00D06CB8">
        <w:rPr>
          <w:rFonts w:ascii="Bookman Old Style" w:hAnsi="Bookman Old Style"/>
          <w:b/>
          <w:color w:val="000000"/>
          <w:sz w:val="27"/>
          <w:szCs w:val="27"/>
        </w:rPr>
        <w:t>COMO</w:t>
      </w:r>
      <w:r w:rsidRPr="00D06CB8">
        <w:rPr>
          <w:rFonts w:ascii="Bookman Old Style" w:hAnsi="Bookman Old Style"/>
          <w:b/>
          <w:color w:val="000000"/>
          <w:sz w:val="27"/>
          <w:szCs w:val="27"/>
        </w:rPr>
        <w:t xml:space="preserve"> NO RECURRENTE </w:t>
      </w:r>
    </w:p>
    <w:p w14:paraId="448B4AD5" w14:textId="77777777" w:rsidR="009236CA" w:rsidRPr="00D06CB8" w:rsidRDefault="009236CA" w:rsidP="0056217D">
      <w:pPr>
        <w:pStyle w:val="Textoindependiente"/>
        <w:spacing w:after="0" w:line="360" w:lineRule="auto"/>
        <w:ind w:firstLine="567"/>
        <w:jc w:val="both"/>
        <w:rPr>
          <w:rFonts w:ascii="Bookman Old Style" w:hAnsi="Bookman Old Style"/>
          <w:color w:val="000000"/>
          <w:sz w:val="27"/>
          <w:szCs w:val="27"/>
        </w:rPr>
      </w:pPr>
    </w:p>
    <w:p w14:paraId="7F12483B" w14:textId="1CE1545E" w:rsidR="00906ECE" w:rsidRPr="00D06CB8" w:rsidRDefault="00906ECE" w:rsidP="0060500E">
      <w:pPr>
        <w:pStyle w:val="Textoindependiente"/>
        <w:spacing w:after="0" w:line="360" w:lineRule="auto"/>
        <w:ind w:firstLine="567"/>
        <w:jc w:val="both"/>
        <w:rPr>
          <w:rFonts w:ascii="Bookman Old Style" w:hAnsi="Bookman Old Style"/>
          <w:color w:val="000000"/>
          <w:sz w:val="27"/>
          <w:szCs w:val="27"/>
        </w:rPr>
      </w:pPr>
      <w:r w:rsidRPr="00D06CB8">
        <w:rPr>
          <w:rFonts w:ascii="Bookman Old Style" w:hAnsi="Bookman Old Style"/>
          <w:color w:val="000000"/>
          <w:sz w:val="27"/>
          <w:szCs w:val="27"/>
        </w:rPr>
        <w:t xml:space="preserve">El apoderado de la víctima </w:t>
      </w:r>
      <w:r w:rsidR="004601E7" w:rsidRPr="00D06CB8">
        <w:rPr>
          <w:rFonts w:ascii="Bookman Old Style" w:hAnsi="Bookman Old Style"/>
          <w:color w:val="000000"/>
          <w:sz w:val="27"/>
          <w:szCs w:val="27"/>
        </w:rPr>
        <w:t>sostuvo que la impugnación especial de la defensa careció de sustentación, porque repitió los alegatos finales del juicio y no atacó de manera concreta los fundamentos probatorios y jurídicos de la condena</w:t>
      </w:r>
      <w:r w:rsidR="002A286F" w:rsidRPr="00D06CB8">
        <w:rPr>
          <w:rFonts w:ascii="Bookman Old Style" w:hAnsi="Bookman Old Style"/>
          <w:color w:val="000000"/>
          <w:sz w:val="27"/>
          <w:szCs w:val="27"/>
        </w:rPr>
        <w:t>.</w:t>
      </w:r>
      <w:r w:rsidR="004601E7" w:rsidRPr="00D06CB8">
        <w:rPr>
          <w:rFonts w:ascii="Bookman Old Style" w:hAnsi="Bookman Old Style"/>
          <w:color w:val="000000"/>
          <w:sz w:val="27"/>
          <w:szCs w:val="27"/>
        </w:rPr>
        <w:t xml:space="preserve"> </w:t>
      </w:r>
      <w:r w:rsidR="002A286F" w:rsidRPr="00D06CB8">
        <w:rPr>
          <w:rFonts w:ascii="Bookman Old Style" w:hAnsi="Bookman Old Style"/>
          <w:color w:val="000000"/>
          <w:sz w:val="27"/>
          <w:szCs w:val="27"/>
        </w:rPr>
        <w:t>P</w:t>
      </w:r>
      <w:r w:rsidR="004601E7" w:rsidRPr="00D06CB8">
        <w:rPr>
          <w:rFonts w:ascii="Bookman Old Style" w:hAnsi="Bookman Old Style"/>
          <w:color w:val="000000"/>
          <w:sz w:val="27"/>
          <w:szCs w:val="27"/>
        </w:rPr>
        <w:t xml:space="preserve">or </w:t>
      </w:r>
      <w:r w:rsidR="002A286F" w:rsidRPr="00D06CB8">
        <w:rPr>
          <w:rFonts w:ascii="Bookman Old Style" w:hAnsi="Bookman Old Style"/>
          <w:color w:val="000000"/>
          <w:sz w:val="27"/>
          <w:szCs w:val="27"/>
        </w:rPr>
        <w:t>ello solicitó que la Sala declare</w:t>
      </w:r>
      <w:r w:rsidR="004601E7" w:rsidRPr="00D06CB8">
        <w:rPr>
          <w:rFonts w:ascii="Bookman Old Style" w:hAnsi="Bookman Old Style"/>
          <w:color w:val="000000"/>
          <w:sz w:val="27"/>
          <w:szCs w:val="27"/>
        </w:rPr>
        <w:t xml:space="preserve"> desierto el recurso. Añadió </w:t>
      </w:r>
      <w:r w:rsidR="002A286F" w:rsidRPr="00D06CB8">
        <w:rPr>
          <w:rFonts w:ascii="Bookman Old Style" w:hAnsi="Bookman Old Style"/>
          <w:color w:val="000000"/>
          <w:sz w:val="27"/>
          <w:szCs w:val="27"/>
        </w:rPr>
        <w:t xml:space="preserve">las razones por las que consideró </w:t>
      </w:r>
      <w:r w:rsidR="004601E7" w:rsidRPr="00D06CB8">
        <w:rPr>
          <w:rFonts w:ascii="Bookman Old Style" w:hAnsi="Bookman Old Style"/>
          <w:color w:val="000000"/>
          <w:sz w:val="27"/>
          <w:szCs w:val="27"/>
        </w:rPr>
        <w:t xml:space="preserve">que el Tribunal acertó al condenar, </w:t>
      </w:r>
      <w:r w:rsidR="002A286F" w:rsidRPr="00D06CB8">
        <w:rPr>
          <w:rFonts w:ascii="Bookman Old Style" w:hAnsi="Bookman Old Style"/>
          <w:color w:val="000000"/>
          <w:sz w:val="27"/>
          <w:szCs w:val="27"/>
        </w:rPr>
        <w:t>allí reiteró que</w:t>
      </w:r>
      <w:r w:rsidR="004601E7" w:rsidRPr="00D06CB8">
        <w:rPr>
          <w:rFonts w:ascii="Bookman Old Style" w:hAnsi="Bookman Old Style"/>
          <w:color w:val="000000"/>
          <w:sz w:val="27"/>
          <w:szCs w:val="27"/>
        </w:rPr>
        <w:t xml:space="preserve"> la defensa no desvirtuó el dolo ni la responsabilidad</w:t>
      </w:r>
      <w:r w:rsidR="002A286F" w:rsidRPr="00D06CB8">
        <w:rPr>
          <w:rFonts w:ascii="Bookman Old Style" w:hAnsi="Bookman Old Style"/>
          <w:color w:val="000000"/>
          <w:sz w:val="27"/>
          <w:szCs w:val="27"/>
        </w:rPr>
        <w:t xml:space="preserve"> de los procesados.</w:t>
      </w:r>
    </w:p>
    <w:p w14:paraId="7644D9CE" w14:textId="77777777" w:rsidR="004601E7" w:rsidRPr="00D06CB8" w:rsidRDefault="004601E7" w:rsidP="0060500E">
      <w:pPr>
        <w:pStyle w:val="Textoindependiente"/>
        <w:spacing w:after="0" w:line="360" w:lineRule="auto"/>
        <w:ind w:firstLine="567"/>
        <w:jc w:val="both"/>
        <w:rPr>
          <w:rFonts w:ascii="Bookman Old Style" w:hAnsi="Bookman Old Style"/>
          <w:color w:val="000000"/>
          <w:sz w:val="27"/>
          <w:szCs w:val="27"/>
        </w:rPr>
      </w:pPr>
    </w:p>
    <w:p w14:paraId="3D93E2E5" w14:textId="29A504F1" w:rsidR="009236CA" w:rsidRPr="00D06CB8" w:rsidRDefault="009236CA" w:rsidP="0060500E">
      <w:pPr>
        <w:spacing w:after="0" w:line="360" w:lineRule="auto"/>
        <w:ind w:firstLine="567"/>
        <w:jc w:val="center"/>
        <w:rPr>
          <w:rFonts w:ascii="Bookman Old Style" w:hAnsi="Bookman Old Style"/>
          <w:b/>
          <w:bCs/>
          <w:sz w:val="27"/>
          <w:szCs w:val="27"/>
          <w:lang w:eastAsia="x-none"/>
        </w:rPr>
      </w:pPr>
      <w:r w:rsidRPr="00D06CB8">
        <w:rPr>
          <w:rFonts w:ascii="Bookman Old Style" w:hAnsi="Bookman Old Style"/>
          <w:b/>
          <w:bCs/>
          <w:sz w:val="27"/>
          <w:szCs w:val="27"/>
          <w:lang w:eastAsia="x-none"/>
        </w:rPr>
        <w:t>V</w:t>
      </w:r>
      <w:r w:rsidR="00906ECE" w:rsidRPr="00D06CB8">
        <w:rPr>
          <w:rFonts w:ascii="Bookman Old Style" w:hAnsi="Bookman Old Style"/>
          <w:b/>
          <w:bCs/>
          <w:sz w:val="27"/>
          <w:szCs w:val="27"/>
          <w:lang w:eastAsia="x-none"/>
        </w:rPr>
        <w:t>II</w:t>
      </w:r>
      <w:r w:rsidRPr="00D06CB8">
        <w:rPr>
          <w:rFonts w:ascii="Bookman Old Style" w:hAnsi="Bookman Old Style"/>
          <w:b/>
          <w:bCs/>
          <w:sz w:val="27"/>
          <w:szCs w:val="27"/>
          <w:lang w:eastAsia="x-none"/>
        </w:rPr>
        <w:t>. CONSIDERACIONES</w:t>
      </w:r>
    </w:p>
    <w:p w14:paraId="6D744361" w14:textId="77777777" w:rsidR="009236CA" w:rsidRPr="00D06CB8" w:rsidRDefault="009236CA" w:rsidP="0060500E">
      <w:pPr>
        <w:spacing w:after="0" w:line="360" w:lineRule="auto"/>
        <w:ind w:firstLine="567"/>
        <w:jc w:val="center"/>
        <w:rPr>
          <w:rFonts w:ascii="Bookman Old Style" w:hAnsi="Bookman Old Style"/>
          <w:sz w:val="27"/>
          <w:szCs w:val="27"/>
          <w:lang w:eastAsia="x-none"/>
        </w:rPr>
      </w:pPr>
    </w:p>
    <w:p w14:paraId="2049D86D" w14:textId="77777777" w:rsidR="009236CA" w:rsidRPr="00D06CB8" w:rsidRDefault="009236CA" w:rsidP="0060500E">
      <w:pPr>
        <w:spacing w:after="0" w:line="360" w:lineRule="auto"/>
        <w:ind w:firstLine="567"/>
        <w:jc w:val="both"/>
        <w:rPr>
          <w:rFonts w:ascii="Bookman Old Style" w:hAnsi="Bookman Old Style"/>
          <w:b/>
          <w:bCs/>
          <w:sz w:val="27"/>
          <w:szCs w:val="27"/>
          <w:lang w:eastAsia="x-none"/>
        </w:rPr>
      </w:pPr>
      <w:r w:rsidRPr="00D06CB8">
        <w:rPr>
          <w:rFonts w:ascii="Bookman Old Style" w:hAnsi="Bookman Old Style"/>
          <w:b/>
          <w:bCs/>
          <w:sz w:val="27"/>
          <w:szCs w:val="27"/>
          <w:lang w:eastAsia="x-none"/>
        </w:rPr>
        <w:t>A. Competencia</w:t>
      </w:r>
    </w:p>
    <w:p w14:paraId="4C008E8F" w14:textId="77777777" w:rsidR="009236CA" w:rsidRPr="00D06CB8" w:rsidRDefault="009236CA" w:rsidP="0060500E">
      <w:pPr>
        <w:spacing w:after="0" w:line="360" w:lineRule="auto"/>
        <w:ind w:firstLine="567"/>
        <w:jc w:val="both"/>
        <w:rPr>
          <w:rFonts w:ascii="Bookman Old Style" w:hAnsi="Bookman Old Style"/>
          <w:sz w:val="27"/>
          <w:szCs w:val="27"/>
          <w:lang w:eastAsia="x-none"/>
        </w:rPr>
      </w:pPr>
    </w:p>
    <w:p w14:paraId="4C69F04C" w14:textId="64DAE9E6" w:rsidR="009236CA" w:rsidRPr="00D06CB8" w:rsidRDefault="009236CA" w:rsidP="6F994DCF">
      <w:pPr>
        <w:spacing w:after="0" w:line="360" w:lineRule="auto"/>
        <w:ind w:firstLine="567"/>
        <w:contextualSpacing/>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1. Esta Corporación es competente para resolver la impugnación especial interpuesta por la defensa contra la sentencia proferida en segunda instancia por la Sala</w:t>
      </w:r>
      <w:r w:rsidR="00E56304" w:rsidRPr="00D06CB8">
        <w:rPr>
          <w:rFonts w:ascii="Bookman Old Style" w:eastAsia="Calibri" w:hAnsi="Bookman Old Style"/>
          <w:sz w:val="27"/>
          <w:szCs w:val="27"/>
          <w:lang w:val="es-ES" w:eastAsia="es-ES"/>
        </w:rPr>
        <w:t xml:space="preserve"> </w:t>
      </w:r>
      <w:r w:rsidR="004601E7" w:rsidRPr="00D06CB8">
        <w:rPr>
          <w:rFonts w:ascii="Bookman Old Style" w:eastAsia="Calibri" w:hAnsi="Bookman Old Style"/>
          <w:sz w:val="27"/>
          <w:szCs w:val="27"/>
          <w:lang w:val="es-ES" w:eastAsia="es-ES"/>
        </w:rPr>
        <w:t>Penal</w:t>
      </w:r>
      <w:r w:rsidRPr="00D06CB8">
        <w:rPr>
          <w:rFonts w:ascii="Bookman Old Style" w:eastAsia="Calibri" w:hAnsi="Bookman Old Style"/>
          <w:sz w:val="27"/>
          <w:szCs w:val="27"/>
          <w:lang w:val="es-ES" w:eastAsia="es-ES"/>
        </w:rPr>
        <w:t xml:space="preserve"> del Tribunal Superior de </w:t>
      </w:r>
      <w:r w:rsidR="004601E7" w:rsidRPr="00D06CB8">
        <w:rPr>
          <w:rFonts w:ascii="Bookman Old Style" w:eastAsia="Calibri" w:hAnsi="Bookman Old Style"/>
          <w:sz w:val="27"/>
          <w:szCs w:val="27"/>
          <w:lang w:val="es-ES" w:eastAsia="es-ES"/>
        </w:rPr>
        <w:t>Ibagué</w:t>
      </w:r>
      <w:r w:rsidR="00803AE0" w:rsidRPr="00D06CB8">
        <w:rPr>
          <w:rFonts w:ascii="Bookman Old Style" w:eastAsia="Calibri" w:hAnsi="Bookman Old Style"/>
          <w:sz w:val="27"/>
          <w:szCs w:val="27"/>
          <w:lang w:val="es-ES" w:eastAsia="es-ES"/>
        </w:rPr>
        <w:t>, que declaró penalmente responsable</w:t>
      </w:r>
      <w:r w:rsidR="00C73F5A" w:rsidRPr="00D06CB8">
        <w:rPr>
          <w:rFonts w:ascii="Bookman Old Style" w:eastAsia="Calibri" w:hAnsi="Bookman Old Style"/>
          <w:sz w:val="27"/>
          <w:szCs w:val="27"/>
          <w:lang w:val="es-ES" w:eastAsia="es-ES"/>
        </w:rPr>
        <w:t>s</w:t>
      </w:r>
      <w:r w:rsidR="00803AE0" w:rsidRPr="00D06CB8">
        <w:rPr>
          <w:rFonts w:ascii="Bookman Old Style" w:eastAsia="Calibri" w:hAnsi="Bookman Old Style"/>
          <w:sz w:val="27"/>
          <w:szCs w:val="27"/>
          <w:lang w:val="es-ES" w:eastAsia="es-ES"/>
        </w:rPr>
        <w:t xml:space="preserve"> a </w:t>
      </w:r>
      <w:r w:rsidR="00C73F5A" w:rsidRPr="00D06CB8">
        <w:rPr>
          <w:rFonts w:ascii="Bookman Old Style" w:hAnsi="Bookman Old Style"/>
          <w:smallCaps/>
          <w:color w:val="000000"/>
          <w:spacing w:val="-3"/>
          <w:sz w:val="27"/>
          <w:szCs w:val="27"/>
          <w:lang w:val="es-ES"/>
        </w:rPr>
        <w:t>Armando Loaiza Céspedes</w:t>
      </w:r>
      <w:r w:rsidR="00C73F5A" w:rsidRPr="00D06CB8">
        <w:rPr>
          <w:rFonts w:ascii="Bookman Old Style" w:hAnsi="Bookman Old Style"/>
          <w:color w:val="000000"/>
          <w:spacing w:val="-3"/>
          <w:sz w:val="27"/>
          <w:szCs w:val="27"/>
          <w:lang w:val="es-ES"/>
        </w:rPr>
        <w:t xml:space="preserve">, </w:t>
      </w:r>
      <w:r w:rsidR="00C73F5A" w:rsidRPr="00D06CB8">
        <w:rPr>
          <w:rFonts w:ascii="Bookman Old Style" w:hAnsi="Bookman Old Style"/>
          <w:smallCaps/>
          <w:color w:val="000000"/>
          <w:spacing w:val="-3"/>
          <w:sz w:val="27"/>
          <w:szCs w:val="27"/>
          <w:lang w:val="es-ES"/>
        </w:rPr>
        <w:t>Luis Enrique Peña Camacho</w:t>
      </w:r>
      <w:r w:rsidR="00C73F5A" w:rsidRPr="00D06CB8">
        <w:rPr>
          <w:rFonts w:ascii="Bookman Old Style" w:hAnsi="Bookman Old Style"/>
          <w:color w:val="000000"/>
          <w:spacing w:val="-3"/>
          <w:sz w:val="27"/>
          <w:szCs w:val="27"/>
          <w:lang w:val="es-ES"/>
        </w:rPr>
        <w:t xml:space="preserve"> y </w:t>
      </w:r>
      <w:r w:rsidR="002A286F" w:rsidRPr="00D06CB8">
        <w:rPr>
          <w:rFonts w:ascii="Bookman Old Style" w:hAnsi="Bookman Old Style"/>
          <w:smallCaps/>
          <w:color w:val="000000"/>
          <w:spacing w:val="-3"/>
          <w:sz w:val="27"/>
          <w:szCs w:val="27"/>
          <w:lang w:val="es-ES"/>
        </w:rPr>
        <w:t>É</w:t>
      </w:r>
      <w:r w:rsidR="00C73F5A" w:rsidRPr="00D06CB8">
        <w:rPr>
          <w:rFonts w:ascii="Bookman Old Style" w:hAnsi="Bookman Old Style"/>
          <w:smallCaps/>
          <w:color w:val="000000"/>
          <w:spacing w:val="-3"/>
          <w:sz w:val="27"/>
          <w:szCs w:val="27"/>
          <w:lang w:val="es-ES"/>
        </w:rPr>
        <w:t>dgar Triana</w:t>
      </w:r>
      <w:r w:rsidR="00C73F5A" w:rsidRPr="00D06CB8">
        <w:rPr>
          <w:rFonts w:ascii="Bookman Old Style" w:hAnsi="Bookman Old Style"/>
          <w:color w:val="000000"/>
          <w:spacing w:val="-3"/>
          <w:sz w:val="27"/>
          <w:szCs w:val="27"/>
          <w:lang w:val="es-ES"/>
        </w:rPr>
        <w:t xml:space="preserve">. </w:t>
      </w:r>
      <w:r w:rsidRPr="00D06CB8">
        <w:rPr>
          <w:rFonts w:ascii="Bookman Old Style" w:eastAsia="Calibri" w:hAnsi="Bookman Old Style"/>
          <w:sz w:val="27"/>
          <w:szCs w:val="27"/>
          <w:lang w:val="es-ES" w:eastAsia="es-ES"/>
        </w:rPr>
        <w:t xml:space="preserve">Esto, según lo previsto en el artículo 235, numeral 7° de la Constitución Política, </w:t>
      </w:r>
      <w:r w:rsidR="0022319A" w:rsidRPr="00D06CB8">
        <w:rPr>
          <w:rFonts w:ascii="Bookman Old Style" w:eastAsia="Calibri" w:hAnsi="Bookman Old Style"/>
          <w:sz w:val="27"/>
          <w:szCs w:val="27"/>
          <w:lang w:val="es-ES" w:eastAsia="es-ES"/>
        </w:rPr>
        <w:t>mo</w:t>
      </w:r>
      <w:r w:rsidRPr="00D06CB8">
        <w:rPr>
          <w:rFonts w:ascii="Bookman Old Style" w:eastAsia="Calibri" w:hAnsi="Bookman Old Style"/>
          <w:sz w:val="27"/>
          <w:szCs w:val="27"/>
          <w:lang w:val="es-ES" w:eastAsia="es-ES"/>
        </w:rPr>
        <w:t xml:space="preserve">dificado por el Acto Legislativo 01 de 2018 y las directrices establecidas en la decisión CSJ AP1263-2019, 3 abr. 2019, rad. 54215. </w:t>
      </w:r>
    </w:p>
    <w:p w14:paraId="1734601D" w14:textId="77777777" w:rsidR="009236CA" w:rsidRPr="00D06CB8" w:rsidRDefault="009236CA" w:rsidP="0056217D">
      <w:pPr>
        <w:spacing w:after="0" w:line="360" w:lineRule="auto"/>
        <w:ind w:firstLine="567"/>
        <w:contextualSpacing/>
        <w:jc w:val="both"/>
        <w:rPr>
          <w:rFonts w:ascii="Bookman Old Style" w:eastAsia="Calibri" w:hAnsi="Bookman Old Style"/>
          <w:sz w:val="27"/>
          <w:szCs w:val="27"/>
          <w:lang w:eastAsia="es-ES"/>
        </w:rPr>
      </w:pPr>
    </w:p>
    <w:p w14:paraId="4F57FD78" w14:textId="22FBD1E3" w:rsidR="009236CA" w:rsidRPr="00D06CB8" w:rsidRDefault="009236CA"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2. </w:t>
      </w:r>
      <w:r w:rsidR="00F9473F" w:rsidRPr="00D06CB8">
        <w:rPr>
          <w:rFonts w:ascii="Bookman Old Style" w:eastAsia="Calibri" w:hAnsi="Bookman Old Style"/>
          <w:sz w:val="27"/>
          <w:szCs w:val="27"/>
          <w:lang w:eastAsia="es-ES"/>
        </w:rPr>
        <w:t>En ese orden,</w:t>
      </w:r>
      <w:r w:rsidR="00E56304" w:rsidRPr="00D06CB8">
        <w:rPr>
          <w:rFonts w:ascii="Bookman Old Style" w:eastAsia="Calibri" w:hAnsi="Bookman Old Style"/>
          <w:sz w:val="27"/>
          <w:szCs w:val="27"/>
          <w:lang w:eastAsia="es-ES"/>
        </w:rPr>
        <w:t xml:space="preserve"> l</w:t>
      </w:r>
      <w:r w:rsidRPr="00D06CB8">
        <w:rPr>
          <w:rFonts w:ascii="Bookman Old Style" w:eastAsia="Calibri" w:hAnsi="Bookman Old Style"/>
          <w:sz w:val="27"/>
          <w:szCs w:val="27"/>
          <w:lang w:eastAsia="es-ES"/>
        </w:rPr>
        <w:t xml:space="preserve">a Sala de Casación Penal está habilitada para revisar la legalidad de la sentencia </w:t>
      </w:r>
      <w:r w:rsidR="00710199" w:rsidRPr="00D06CB8">
        <w:rPr>
          <w:rFonts w:ascii="Bookman Old Style" w:eastAsia="Calibri" w:hAnsi="Bookman Old Style"/>
          <w:sz w:val="27"/>
          <w:szCs w:val="27"/>
          <w:lang w:eastAsia="es-ES"/>
        </w:rPr>
        <w:t>impugna</w:t>
      </w:r>
      <w:r w:rsidRPr="00D06CB8">
        <w:rPr>
          <w:rFonts w:ascii="Bookman Old Style" w:eastAsia="Calibri" w:hAnsi="Bookman Old Style"/>
          <w:sz w:val="27"/>
          <w:szCs w:val="27"/>
          <w:lang w:eastAsia="es-ES"/>
        </w:rPr>
        <w:t xml:space="preserve">da. Tal </w:t>
      </w:r>
      <w:r w:rsidRPr="00D06CB8">
        <w:rPr>
          <w:rFonts w:ascii="Bookman Old Style" w:eastAsia="Calibri" w:hAnsi="Bookman Old Style"/>
          <w:sz w:val="27"/>
          <w:szCs w:val="27"/>
          <w:lang w:eastAsia="es-ES"/>
        </w:rPr>
        <w:lastRenderedPageBreak/>
        <w:t xml:space="preserve">competencia la ejercerá con estricto respeto del principio de limitación, que </w:t>
      </w:r>
      <w:r w:rsidR="00710199" w:rsidRPr="00D06CB8">
        <w:rPr>
          <w:rFonts w:ascii="Bookman Old Style" w:eastAsia="Calibri" w:hAnsi="Bookman Old Style"/>
          <w:sz w:val="27"/>
          <w:szCs w:val="27"/>
          <w:lang w:eastAsia="es-ES"/>
        </w:rPr>
        <w:t xml:space="preserve">la </w:t>
      </w:r>
      <w:r w:rsidRPr="00D06CB8">
        <w:rPr>
          <w:rFonts w:ascii="Bookman Old Style" w:eastAsia="Calibri" w:hAnsi="Bookman Old Style"/>
          <w:sz w:val="27"/>
          <w:szCs w:val="27"/>
          <w:lang w:eastAsia="es-ES"/>
        </w:rPr>
        <w:t>habilita para pronunciarse sobre los puntos objeto de inconformidad del recurrente y lo inescindiblemente relacionado con ellos, y la proscripción de la reforma en perjuicio de</w:t>
      </w:r>
      <w:r w:rsidR="00977B5E" w:rsidRPr="00D06CB8">
        <w:rPr>
          <w:rFonts w:ascii="Bookman Old Style" w:eastAsia="Calibri" w:hAnsi="Bookman Old Style"/>
          <w:sz w:val="27"/>
          <w:szCs w:val="27"/>
          <w:lang w:eastAsia="es-ES"/>
        </w:rPr>
        <w:t xml:space="preserve"> </w:t>
      </w:r>
      <w:r w:rsidRPr="00D06CB8">
        <w:rPr>
          <w:rFonts w:ascii="Bookman Old Style" w:eastAsia="Calibri" w:hAnsi="Bookman Old Style"/>
          <w:sz w:val="27"/>
          <w:szCs w:val="27"/>
          <w:lang w:eastAsia="es-ES"/>
        </w:rPr>
        <w:t>l</w:t>
      </w:r>
      <w:r w:rsidR="00977B5E" w:rsidRPr="00D06CB8">
        <w:rPr>
          <w:rFonts w:ascii="Bookman Old Style" w:eastAsia="Calibri" w:hAnsi="Bookman Old Style"/>
          <w:sz w:val="27"/>
          <w:szCs w:val="27"/>
          <w:lang w:eastAsia="es-ES"/>
        </w:rPr>
        <w:t>os</w:t>
      </w:r>
      <w:r w:rsidRPr="00D06CB8">
        <w:rPr>
          <w:rFonts w:ascii="Bookman Old Style" w:eastAsia="Calibri" w:hAnsi="Bookman Old Style"/>
          <w:sz w:val="27"/>
          <w:szCs w:val="27"/>
          <w:lang w:eastAsia="es-ES"/>
        </w:rPr>
        <w:t xml:space="preserve"> procesado</w:t>
      </w:r>
      <w:r w:rsidR="00977B5E" w:rsidRPr="00D06CB8">
        <w:rPr>
          <w:rFonts w:ascii="Bookman Old Style" w:eastAsia="Calibri" w:hAnsi="Bookman Old Style"/>
          <w:sz w:val="27"/>
          <w:szCs w:val="27"/>
          <w:lang w:eastAsia="es-ES"/>
        </w:rPr>
        <w:t>s</w:t>
      </w:r>
      <w:r w:rsidRPr="00D06CB8">
        <w:rPr>
          <w:rFonts w:ascii="Bookman Old Style" w:eastAsia="Calibri" w:hAnsi="Bookman Old Style"/>
          <w:sz w:val="27"/>
          <w:szCs w:val="27"/>
          <w:lang w:eastAsia="es-ES"/>
        </w:rPr>
        <w:t xml:space="preserve"> </w:t>
      </w:r>
      <w:r w:rsidR="00977B5E" w:rsidRPr="00D06CB8">
        <w:rPr>
          <w:rFonts w:ascii="Bookman Old Style" w:eastAsia="Calibri" w:hAnsi="Bookman Old Style"/>
          <w:sz w:val="27"/>
          <w:szCs w:val="27"/>
          <w:lang w:eastAsia="es-ES"/>
        </w:rPr>
        <w:t xml:space="preserve">que son </w:t>
      </w:r>
      <w:r w:rsidRPr="00D06CB8">
        <w:rPr>
          <w:rFonts w:ascii="Bookman Old Style" w:eastAsia="Calibri" w:hAnsi="Bookman Old Style"/>
          <w:sz w:val="27"/>
          <w:szCs w:val="27"/>
          <w:lang w:eastAsia="es-ES"/>
        </w:rPr>
        <w:t>apelante</w:t>
      </w:r>
      <w:r w:rsidR="00977B5E" w:rsidRPr="00D06CB8">
        <w:rPr>
          <w:rFonts w:ascii="Bookman Old Style" w:eastAsia="Calibri" w:hAnsi="Bookman Old Style"/>
          <w:sz w:val="27"/>
          <w:szCs w:val="27"/>
          <w:lang w:eastAsia="es-ES"/>
        </w:rPr>
        <w:t>s</w:t>
      </w:r>
      <w:r w:rsidRPr="00D06CB8">
        <w:rPr>
          <w:rFonts w:ascii="Bookman Old Style" w:eastAsia="Calibri" w:hAnsi="Bookman Old Style"/>
          <w:sz w:val="27"/>
          <w:szCs w:val="27"/>
          <w:lang w:eastAsia="es-ES"/>
        </w:rPr>
        <w:t xml:space="preserve"> único</w:t>
      </w:r>
      <w:r w:rsidR="00977B5E" w:rsidRPr="00D06CB8">
        <w:rPr>
          <w:rFonts w:ascii="Bookman Old Style" w:eastAsia="Calibri" w:hAnsi="Bookman Old Style"/>
          <w:sz w:val="27"/>
          <w:szCs w:val="27"/>
          <w:lang w:eastAsia="es-ES"/>
        </w:rPr>
        <w:t>s</w:t>
      </w:r>
      <w:r w:rsidRPr="00D06CB8">
        <w:rPr>
          <w:rFonts w:ascii="Bookman Old Style" w:eastAsia="Calibri" w:hAnsi="Bookman Old Style"/>
          <w:sz w:val="27"/>
          <w:szCs w:val="27"/>
          <w:lang w:eastAsia="es-ES"/>
        </w:rPr>
        <w:t>. </w:t>
      </w:r>
    </w:p>
    <w:p w14:paraId="7DA3C2A0" w14:textId="77777777" w:rsidR="009236CA" w:rsidRPr="00D06CB8" w:rsidRDefault="009236CA" w:rsidP="0056217D">
      <w:pPr>
        <w:spacing w:after="0" w:line="360" w:lineRule="auto"/>
        <w:ind w:firstLine="567"/>
        <w:contextualSpacing/>
        <w:jc w:val="both"/>
        <w:rPr>
          <w:rFonts w:ascii="Bookman Old Style" w:eastAsia="Calibri" w:hAnsi="Bookman Old Style"/>
          <w:sz w:val="27"/>
          <w:szCs w:val="27"/>
          <w:lang w:eastAsia="es-ES"/>
        </w:rPr>
      </w:pPr>
    </w:p>
    <w:p w14:paraId="0E6E72C2" w14:textId="31AFC037" w:rsidR="009236CA" w:rsidRPr="00D06CB8" w:rsidRDefault="009236CA"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Claro lo anterior, la Corporación expondrá los argumentos que sustentan su decisión</w:t>
      </w:r>
      <w:r w:rsidR="00977B5E" w:rsidRPr="00D06CB8">
        <w:rPr>
          <w:rFonts w:ascii="Bookman Old Style" w:eastAsia="Calibri" w:hAnsi="Bookman Old Style"/>
          <w:sz w:val="27"/>
          <w:szCs w:val="27"/>
          <w:lang w:eastAsia="es-ES"/>
        </w:rPr>
        <w:t xml:space="preserve">. Primero, </w:t>
      </w:r>
      <w:r w:rsidR="00733637" w:rsidRPr="00D06CB8">
        <w:rPr>
          <w:rFonts w:ascii="Bookman Old Style" w:eastAsia="Calibri" w:hAnsi="Bookman Old Style"/>
          <w:sz w:val="27"/>
          <w:szCs w:val="27"/>
          <w:lang w:eastAsia="es-ES"/>
        </w:rPr>
        <w:t xml:space="preserve">hará una precisión inicial; luego </w:t>
      </w:r>
      <w:r w:rsidR="00977B5E" w:rsidRPr="00D06CB8">
        <w:rPr>
          <w:rFonts w:ascii="Bookman Old Style" w:eastAsia="Calibri" w:hAnsi="Bookman Old Style"/>
          <w:sz w:val="27"/>
          <w:szCs w:val="27"/>
          <w:lang w:eastAsia="es-ES"/>
        </w:rPr>
        <w:t>se ocupará</w:t>
      </w:r>
      <w:r w:rsidRPr="00D06CB8">
        <w:rPr>
          <w:rFonts w:ascii="Bookman Old Style" w:eastAsia="Calibri" w:hAnsi="Bookman Old Style"/>
          <w:sz w:val="27"/>
          <w:szCs w:val="27"/>
          <w:lang w:eastAsia="es-ES"/>
        </w:rPr>
        <w:t xml:space="preserve"> de la validez de la actuación y</w:t>
      </w:r>
      <w:r w:rsidR="00020226" w:rsidRPr="00D06CB8">
        <w:rPr>
          <w:rFonts w:ascii="Bookman Old Style" w:eastAsia="Calibri" w:hAnsi="Bookman Old Style"/>
          <w:sz w:val="27"/>
          <w:szCs w:val="27"/>
          <w:lang w:eastAsia="es-ES"/>
        </w:rPr>
        <w:t>, de ser procedente, del examen</w:t>
      </w:r>
      <w:r w:rsidRPr="00D06CB8">
        <w:rPr>
          <w:rFonts w:ascii="Bookman Old Style" w:eastAsia="Calibri" w:hAnsi="Bookman Old Style"/>
          <w:sz w:val="27"/>
          <w:szCs w:val="27"/>
          <w:lang w:eastAsia="es-ES"/>
        </w:rPr>
        <w:t xml:space="preserve"> de la responsabilidad</w:t>
      </w:r>
      <w:r w:rsidR="00020226" w:rsidRPr="00D06CB8">
        <w:rPr>
          <w:rFonts w:ascii="Bookman Old Style" w:eastAsia="Calibri" w:hAnsi="Bookman Old Style"/>
          <w:sz w:val="27"/>
          <w:szCs w:val="27"/>
          <w:lang w:eastAsia="es-ES"/>
        </w:rPr>
        <w:t xml:space="preserve"> penal</w:t>
      </w:r>
      <w:r w:rsidRPr="00D06CB8">
        <w:rPr>
          <w:rFonts w:ascii="Bookman Old Style" w:eastAsia="Calibri" w:hAnsi="Bookman Old Style"/>
          <w:sz w:val="27"/>
          <w:szCs w:val="27"/>
          <w:lang w:eastAsia="es-ES"/>
        </w:rPr>
        <w:t xml:space="preserve"> de</w:t>
      </w:r>
      <w:r w:rsidR="00F94552" w:rsidRPr="00D06CB8">
        <w:rPr>
          <w:rFonts w:ascii="Bookman Old Style" w:eastAsia="Calibri" w:hAnsi="Bookman Old Style"/>
          <w:sz w:val="27"/>
          <w:szCs w:val="27"/>
          <w:lang w:eastAsia="es-ES"/>
        </w:rPr>
        <w:t xml:space="preserve"> </w:t>
      </w:r>
      <w:r w:rsidRPr="00D06CB8">
        <w:rPr>
          <w:rFonts w:ascii="Bookman Old Style" w:eastAsia="Calibri" w:hAnsi="Bookman Old Style"/>
          <w:sz w:val="27"/>
          <w:szCs w:val="27"/>
          <w:lang w:eastAsia="es-ES"/>
        </w:rPr>
        <w:t>l</w:t>
      </w:r>
      <w:r w:rsidR="00F94552" w:rsidRPr="00D06CB8">
        <w:rPr>
          <w:rFonts w:ascii="Bookman Old Style" w:eastAsia="Calibri" w:hAnsi="Bookman Old Style"/>
          <w:sz w:val="27"/>
          <w:szCs w:val="27"/>
          <w:lang w:eastAsia="es-ES"/>
        </w:rPr>
        <w:t>os</w:t>
      </w:r>
      <w:r w:rsidRPr="00D06CB8">
        <w:rPr>
          <w:rFonts w:ascii="Bookman Old Style" w:eastAsia="Calibri" w:hAnsi="Bookman Old Style"/>
          <w:sz w:val="27"/>
          <w:szCs w:val="27"/>
          <w:lang w:eastAsia="es-ES"/>
        </w:rPr>
        <w:t xml:space="preserve"> procesado</w:t>
      </w:r>
      <w:r w:rsidR="00F94552" w:rsidRPr="00D06CB8">
        <w:rPr>
          <w:rFonts w:ascii="Bookman Old Style" w:eastAsia="Calibri" w:hAnsi="Bookman Old Style"/>
          <w:sz w:val="27"/>
          <w:szCs w:val="27"/>
          <w:lang w:eastAsia="es-ES"/>
        </w:rPr>
        <w:t>s</w:t>
      </w:r>
      <w:r w:rsidRPr="00D06CB8">
        <w:rPr>
          <w:rFonts w:ascii="Bookman Old Style" w:eastAsia="Calibri" w:hAnsi="Bookman Old Style"/>
          <w:sz w:val="27"/>
          <w:szCs w:val="27"/>
          <w:lang w:eastAsia="es-ES"/>
        </w:rPr>
        <w:t>.</w:t>
      </w:r>
    </w:p>
    <w:p w14:paraId="30EBB811" w14:textId="77777777" w:rsidR="00520EBC" w:rsidRPr="00D06CB8" w:rsidRDefault="00520EBC" w:rsidP="0056217D">
      <w:pPr>
        <w:spacing w:after="0" w:line="360" w:lineRule="auto"/>
        <w:contextualSpacing/>
        <w:jc w:val="both"/>
        <w:rPr>
          <w:rFonts w:ascii="Bookman Old Style" w:eastAsia="Calibri" w:hAnsi="Bookman Old Style"/>
          <w:sz w:val="27"/>
          <w:szCs w:val="27"/>
          <w:lang w:eastAsia="es-ES"/>
        </w:rPr>
      </w:pPr>
    </w:p>
    <w:p w14:paraId="5E011ED8" w14:textId="77777777" w:rsidR="00520EBC" w:rsidRPr="00D06CB8" w:rsidRDefault="00520EBC" w:rsidP="0056217D">
      <w:pPr>
        <w:spacing w:after="0" w:line="360" w:lineRule="auto"/>
        <w:ind w:firstLine="567"/>
        <w:jc w:val="both"/>
        <w:rPr>
          <w:rFonts w:ascii="Bookman Old Style" w:eastAsia="Calibri" w:hAnsi="Bookman Old Style"/>
          <w:sz w:val="27"/>
          <w:szCs w:val="27"/>
        </w:rPr>
      </w:pPr>
      <w:r w:rsidRPr="00D06CB8">
        <w:rPr>
          <w:rFonts w:ascii="Bookman Old Style" w:eastAsia="Calibri" w:hAnsi="Bookman Old Style"/>
          <w:b/>
          <w:bCs/>
          <w:sz w:val="27"/>
          <w:szCs w:val="27"/>
        </w:rPr>
        <w:t>B. Validez de la actuación</w:t>
      </w:r>
      <w:r w:rsidRPr="00D06CB8">
        <w:rPr>
          <w:rFonts w:ascii="Bookman Old Style" w:eastAsia="Calibri" w:hAnsi="Bookman Old Style"/>
          <w:sz w:val="27"/>
          <w:szCs w:val="27"/>
        </w:rPr>
        <w:t> </w:t>
      </w:r>
    </w:p>
    <w:p w14:paraId="6C0926EC"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w:t>
      </w:r>
    </w:p>
    <w:p w14:paraId="36271F80" w14:textId="0A32BF0B" w:rsidR="00520EBC" w:rsidRPr="00D06CB8" w:rsidRDefault="00520EBC" w:rsidP="6F994DCF">
      <w:pPr>
        <w:spacing w:after="0" w:line="360" w:lineRule="auto"/>
        <w:ind w:firstLine="567"/>
        <w:contextualSpacing/>
        <w:jc w:val="both"/>
        <w:rPr>
          <w:rFonts w:ascii="Bookman Old Style" w:eastAsia="Bookman Old Style" w:hAnsi="Bookman Old Style" w:cs="Bookman Old Style"/>
          <w:sz w:val="27"/>
          <w:szCs w:val="27"/>
          <w:lang w:val="es-ES"/>
        </w:rPr>
      </w:pPr>
      <w:r w:rsidRPr="00D06CB8">
        <w:rPr>
          <w:rFonts w:ascii="Bookman Old Style" w:eastAsia="Calibri" w:hAnsi="Bookman Old Style"/>
          <w:sz w:val="27"/>
          <w:szCs w:val="27"/>
          <w:lang w:val="es-ES" w:eastAsia="es-ES"/>
        </w:rPr>
        <w:t xml:space="preserve">3. </w:t>
      </w:r>
      <w:r w:rsidRPr="00D06CB8">
        <w:rPr>
          <w:rFonts w:ascii="Bookman Old Style" w:eastAsia="Bookman Old Style" w:hAnsi="Bookman Old Style" w:cs="Bookman Old Style"/>
          <w:sz w:val="27"/>
          <w:szCs w:val="27"/>
          <w:lang w:val="es-ES"/>
        </w:rPr>
        <w:t xml:space="preserve">La Corte advierte que en el proceso adelantado contra </w:t>
      </w:r>
      <w:r w:rsidRPr="00D06CB8">
        <w:rPr>
          <w:rFonts w:ascii="Bookman Old Style" w:hAnsi="Bookman Old Style"/>
          <w:smallCaps/>
          <w:color w:val="000000"/>
          <w:spacing w:val="-3"/>
          <w:sz w:val="27"/>
          <w:szCs w:val="27"/>
          <w:lang w:val="es-ES"/>
        </w:rPr>
        <w:t>Armando Loaiza Céspedes</w:t>
      </w:r>
      <w:r w:rsidRPr="00D06CB8">
        <w:rPr>
          <w:rFonts w:ascii="Bookman Old Style" w:hAnsi="Bookman Old Style"/>
          <w:color w:val="000000"/>
          <w:spacing w:val="-3"/>
          <w:sz w:val="27"/>
          <w:szCs w:val="27"/>
          <w:lang w:val="es-ES"/>
        </w:rPr>
        <w:t xml:space="preserve">, </w:t>
      </w:r>
      <w:r w:rsidRPr="00D06CB8">
        <w:rPr>
          <w:rFonts w:ascii="Bookman Old Style" w:hAnsi="Bookman Old Style"/>
          <w:smallCaps/>
          <w:color w:val="000000"/>
          <w:spacing w:val="-3"/>
          <w:sz w:val="27"/>
          <w:szCs w:val="27"/>
          <w:lang w:val="es-ES"/>
        </w:rPr>
        <w:t>Luis Enrique Peña Camacho</w:t>
      </w:r>
      <w:r w:rsidRPr="00D06CB8">
        <w:rPr>
          <w:rFonts w:ascii="Bookman Old Style" w:hAnsi="Bookman Old Style"/>
          <w:color w:val="000000"/>
          <w:spacing w:val="-3"/>
          <w:sz w:val="27"/>
          <w:szCs w:val="27"/>
          <w:lang w:val="es-ES"/>
        </w:rPr>
        <w:t xml:space="preserve"> y </w:t>
      </w:r>
      <w:r w:rsidR="0056217D" w:rsidRPr="00D06CB8">
        <w:rPr>
          <w:rFonts w:ascii="Bookman Old Style" w:hAnsi="Bookman Old Style"/>
          <w:smallCaps/>
          <w:color w:val="000000"/>
          <w:spacing w:val="-3"/>
          <w:sz w:val="27"/>
          <w:szCs w:val="27"/>
          <w:lang w:val="es-ES"/>
        </w:rPr>
        <w:t>É</w:t>
      </w:r>
      <w:r w:rsidRPr="00D06CB8">
        <w:rPr>
          <w:rFonts w:ascii="Bookman Old Style" w:hAnsi="Bookman Old Style"/>
          <w:smallCaps/>
          <w:color w:val="000000"/>
          <w:spacing w:val="-3"/>
          <w:sz w:val="27"/>
          <w:szCs w:val="27"/>
          <w:lang w:val="es-ES"/>
        </w:rPr>
        <w:t>dgar Triana</w:t>
      </w:r>
      <w:r w:rsidRPr="00D06CB8">
        <w:rPr>
          <w:rFonts w:ascii="Bookman Old Style" w:eastAsia="Bookman Old Style" w:hAnsi="Bookman Old Style" w:cs="Bookman Old Style"/>
          <w:sz w:val="27"/>
          <w:szCs w:val="27"/>
          <w:lang w:val="es-ES"/>
        </w:rPr>
        <w:t xml:space="preserve"> </w:t>
      </w:r>
      <w:r w:rsidRPr="00D06CB8">
        <w:rPr>
          <w:rFonts w:ascii="Bookman Old Style" w:eastAsia="Bookman Old Style" w:hAnsi="Bookman Old Style" w:cs="Bookman Old Style"/>
          <w:i/>
          <w:iCs/>
          <w:sz w:val="27"/>
          <w:szCs w:val="27"/>
          <w:lang w:val="es-ES"/>
        </w:rPr>
        <w:t>i)</w:t>
      </w:r>
      <w:r w:rsidRPr="00D06CB8">
        <w:rPr>
          <w:rFonts w:ascii="Bookman Old Style" w:eastAsia="Bookman Old Style" w:hAnsi="Bookman Old Style" w:cs="Bookman Old Style"/>
          <w:sz w:val="27"/>
          <w:szCs w:val="27"/>
          <w:lang w:val="es-ES"/>
        </w:rPr>
        <w:t xml:space="preserve"> las actuaciones fueron conducidas por las autoridades competentes</w:t>
      </w:r>
      <w:r w:rsidR="008D3F4E" w:rsidRPr="00D06CB8">
        <w:rPr>
          <w:rFonts w:ascii="Bookman Old Style" w:eastAsia="Bookman Old Style" w:hAnsi="Bookman Old Style" w:cs="Bookman Old Style"/>
          <w:sz w:val="27"/>
          <w:szCs w:val="27"/>
          <w:lang w:val="es-ES"/>
        </w:rPr>
        <w:t>,</w:t>
      </w:r>
      <w:r w:rsidRPr="00D06CB8">
        <w:rPr>
          <w:rFonts w:ascii="Bookman Old Style" w:eastAsia="Bookman Old Style" w:hAnsi="Bookman Old Style" w:cs="Bookman Old Style"/>
          <w:sz w:val="27"/>
          <w:szCs w:val="27"/>
          <w:lang w:val="es-ES"/>
        </w:rPr>
        <w:t xml:space="preserve"> estas </w:t>
      </w:r>
      <w:r w:rsidRPr="00D06CB8">
        <w:rPr>
          <w:rFonts w:ascii="Bookman Old Style" w:eastAsia="Bookman Old Style" w:hAnsi="Bookman Old Style" w:cs="Bookman Old Style"/>
          <w:i/>
          <w:iCs/>
          <w:sz w:val="27"/>
          <w:szCs w:val="27"/>
          <w:lang w:val="es-ES"/>
        </w:rPr>
        <w:t>ii)</w:t>
      </w:r>
      <w:r w:rsidRPr="00D06CB8">
        <w:rPr>
          <w:rFonts w:ascii="Bookman Old Style" w:eastAsia="Bookman Old Style" w:hAnsi="Bookman Old Style" w:cs="Bookman Old Style"/>
          <w:sz w:val="27"/>
          <w:szCs w:val="27"/>
          <w:lang w:val="es-ES"/>
        </w:rPr>
        <w:t xml:space="preserve"> no omitieron etapas esenciales del proceso penal</w:t>
      </w:r>
      <w:r w:rsidR="008D3F4E" w:rsidRPr="00D06CB8">
        <w:rPr>
          <w:rFonts w:ascii="Bookman Old Style" w:eastAsia="Bookman Old Style" w:hAnsi="Bookman Old Style" w:cs="Bookman Old Style"/>
          <w:sz w:val="27"/>
          <w:szCs w:val="27"/>
          <w:lang w:val="es-ES"/>
        </w:rPr>
        <w:t>,</w:t>
      </w:r>
      <w:r w:rsidRPr="00D06CB8">
        <w:rPr>
          <w:rFonts w:ascii="Bookman Old Style" w:eastAsia="Bookman Old Style" w:hAnsi="Bookman Old Style" w:cs="Bookman Old Style"/>
          <w:sz w:val="27"/>
          <w:szCs w:val="27"/>
          <w:lang w:val="es-ES"/>
        </w:rPr>
        <w:t xml:space="preserve"> </w:t>
      </w:r>
      <w:r w:rsidRPr="00D06CB8">
        <w:rPr>
          <w:rFonts w:ascii="Bookman Old Style" w:eastAsia="Bookman Old Style" w:hAnsi="Bookman Old Style" w:cs="Bookman Old Style"/>
          <w:i/>
          <w:iCs/>
          <w:sz w:val="27"/>
          <w:szCs w:val="27"/>
          <w:lang w:val="es-ES"/>
        </w:rPr>
        <w:t>iii)</w:t>
      </w:r>
      <w:r w:rsidRPr="00D06CB8">
        <w:rPr>
          <w:rFonts w:ascii="Bookman Old Style" w:eastAsia="Bookman Old Style" w:hAnsi="Bookman Old Style" w:cs="Bookman Old Style"/>
          <w:sz w:val="27"/>
          <w:szCs w:val="27"/>
          <w:lang w:val="es-ES"/>
        </w:rPr>
        <w:t xml:space="preserve"> garantizaron el derecho de defensa técnica y material</w:t>
      </w:r>
      <w:r w:rsidRPr="00D06CB8">
        <w:rPr>
          <w:rStyle w:val="Refdenotaalpie"/>
          <w:rFonts w:ascii="Bookman Old Style" w:eastAsia="Bookman Old Style" w:hAnsi="Bookman Old Style" w:cs="Bookman Old Style"/>
          <w:sz w:val="27"/>
          <w:szCs w:val="27"/>
          <w:lang w:val="es-ES"/>
        </w:rPr>
        <w:footnoteReference w:id="9"/>
      </w:r>
      <w:r w:rsidR="008D3F4E" w:rsidRPr="00D06CB8">
        <w:rPr>
          <w:rFonts w:ascii="Bookman Old Style" w:eastAsia="Bookman Old Style" w:hAnsi="Bookman Old Style" w:cs="Bookman Old Style"/>
          <w:sz w:val="27"/>
          <w:szCs w:val="27"/>
          <w:lang w:val="es-ES"/>
        </w:rPr>
        <w:t>,</w:t>
      </w:r>
      <w:r w:rsidRPr="00D06CB8">
        <w:rPr>
          <w:rFonts w:ascii="Bookman Old Style" w:eastAsia="Bookman Old Style" w:hAnsi="Bookman Old Style" w:cs="Bookman Old Style"/>
          <w:sz w:val="27"/>
          <w:szCs w:val="27"/>
          <w:lang w:val="es-ES"/>
        </w:rPr>
        <w:t xml:space="preserve"> </w:t>
      </w:r>
      <w:r w:rsidRPr="00D06CB8">
        <w:rPr>
          <w:rFonts w:ascii="Bookman Old Style" w:eastAsia="Bookman Old Style" w:hAnsi="Bookman Old Style" w:cs="Bookman Old Style"/>
          <w:i/>
          <w:iCs/>
          <w:sz w:val="27"/>
          <w:szCs w:val="27"/>
          <w:lang w:val="es-ES"/>
        </w:rPr>
        <w:t xml:space="preserve">iv) </w:t>
      </w:r>
      <w:r w:rsidRPr="00D06CB8">
        <w:rPr>
          <w:rFonts w:ascii="Bookman Old Style" w:eastAsia="Bookman Old Style" w:hAnsi="Bookman Old Style" w:cs="Bookman Old Style"/>
          <w:sz w:val="27"/>
          <w:szCs w:val="27"/>
          <w:lang w:val="es-ES"/>
        </w:rPr>
        <w:t>no practicaron pruebas con vulneración de derechos fundamentales o sin cumplir los requisitos legales</w:t>
      </w:r>
      <w:r w:rsidR="008D3F4E" w:rsidRPr="00D06CB8">
        <w:rPr>
          <w:rFonts w:ascii="Bookman Old Style" w:eastAsia="Bookman Old Style" w:hAnsi="Bookman Old Style" w:cs="Bookman Old Style"/>
          <w:sz w:val="27"/>
          <w:szCs w:val="27"/>
          <w:lang w:val="es-ES"/>
        </w:rPr>
        <w:t>,</w:t>
      </w:r>
      <w:r w:rsidRPr="00D06CB8">
        <w:rPr>
          <w:rFonts w:ascii="Bookman Old Style" w:eastAsia="Bookman Old Style" w:hAnsi="Bookman Old Style" w:cs="Bookman Old Style"/>
          <w:sz w:val="27"/>
          <w:szCs w:val="27"/>
          <w:lang w:val="es-ES"/>
        </w:rPr>
        <w:t xml:space="preserve"> </w:t>
      </w:r>
      <w:r w:rsidRPr="00D06CB8">
        <w:rPr>
          <w:rFonts w:ascii="Bookman Old Style" w:eastAsia="Bookman Old Style" w:hAnsi="Bookman Old Style" w:cs="Bookman Old Style"/>
          <w:i/>
          <w:iCs/>
          <w:sz w:val="27"/>
          <w:szCs w:val="27"/>
          <w:lang w:val="es-ES"/>
        </w:rPr>
        <w:t>v)</w:t>
      </w:r>
      <w:r w:rsidRPr="00D06CB8">
        <w:rPr>
          <w:rFonts w:ascii="Bookman Old Style" w:eastAsia="Bookman Old Style" w:hAnsi="Bookman Old Style" w:cs="Bookman Old Style"/>
          <w:sz w:val="27"/>
          <w:szCs w:val="27"/>
          <w:lang w:val="es-ES"/>
        </w:rPr>
        <w:t xml:space="preserve"> motivaron en debida forma sus decisiones</w:t>
      </w:r>
      <w:r w:rsidR="008D3F4E" w:rsidRPr="00D06CB8">
        <w:rPr>
          <w:rFonts w:ascii="Bookman Old Style" w:eastAsia="Bookman Old Style" w:hAnsi="Bookman Old Style" w:cs="Bookman Old Style"/>
          <w:sz w:val="27"/>
          <w:szCs w:val="27"/>
          <w:lang w:val="es-ES"/>
        </w:rPr>
        <w:t>,</w:t>
      </w:r>
      <w:r w:rsidRPr="00D06CB8">
        <w:rPr>
          <w:rFonts w:ascii="Bookman Old Style" w:eastAsia="Bookman Old Style" w:hAnsi="Bookman Old Style" w:cs="Bookman Old Style"/>
          <w:sz w:val="27"/>
          <w:szCs w:val="27"/>
          <w:lang w:val="es-ES"/>
        </w:rPr>
        <w:t xml:space="preserve"> y </w:t>
      </w:r>
      <w:r w:rsidRPr="00D06CB8">
        <w:rPr>
          <w:rFonts w:ascii="Bookman Old Style" w:eastAsia="Bookman Old Style" w:hAnsi="Bookman Old Style" w:cs="Bookman Old Style"/>
          <w:i/>
          <w:iCs/>
          <w:sz w:val="27"/>
          <w:szCs w:val="27"/>
          <w:lang w:val="es-ES"/>
        </w:rPr>
        <w:t xml:space="preserve">vi) </w:t>
      </w:r>
      <w:r w:rsidRPr="00D06CB8">
        <w:rPr>
          <w:rFonts w:ascii="Bookman Old Style" w:eastAsia="Bookman Old Style" w:hAnsi="Bookman Old Style" w:cs="Bookman Old Style"/>
          <w:sz w:val="27"/>
          <w:szCs w:val="27"/>
          <w:lang w:val="es-ES"/>
        </w:rPr>
        <w:t>garantizaron a las partes e intervinientes el ejercicio pleno de su rol procesal.</w:t>
      </w:r>
    </w:p>
    <w:p w14:paraId="15F03D68" w14:textId="77777777" w:rsidR="00520EBC" w:rsidRPr="00D06CB8" w:rsidRDefault="00520EBC" w:rsidP="0056217D">
      <w:pPr>
        <w:spacing w:after="0" w:line="360" w:lineRule="auto"/>
        <w:ind w:firstLine="567"/>
        <w:contextualSpacing/>
        <w:jc w:val="both"/>
        <w:rPr>
          <w:rFonts w:ascii="Bookman Old Style" w:eastAsia="Bookman Old Style" w:hAnsi="Bookman Old Style" w:cs="Bookman Old Style"/>
          <w:sz w:val="27"/>
          <w:szCs w:val="27"/>
        </w:rPr>
      </w:pPr>
    </w:p>
    <w:p w14:paraId="3C707255"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Bajo ese panorama, no existen razones que pongan en duda la legitimidad del procedimiento, pues este se ajustó a las disposiciones constitucionales y legales vigentes, lo que habilita a la Corte para adoptar una decisión de fondo.</w:t>
      </w:r>
    </w:p>
    <w:p w14:paraId="69496B57" w14:textId="77777777" w:rsidR="00F17E7A" w:rsidRPr="00D06CB8" w:rsidRDefault="00F17E7A" w:rsidP="6F994DCF">
      <w:pPr>
        <w:spacing w:after="0" w:line="360" w:lineRule="auto"/>
        <w:ind w:firstLine="567"/>
        <w:contextualSpacing/>
        <w:jc w:val="both"/>
        <w:rPr>
          <w:rFonts w:ascii="Bookman Old Style" w:eastAsia="Calibri" w:hAnsi="Bookman Old Style"/>
          <w:b/>
          <w:bCs/>
          <w:sz w:val="27"/>
          <w:szCs w:val="27"/>
          <w:lang w:val="es-ES" w:eastAsia="es-ES"/>
        </w:rPr>
      </w:pPr>
      <w:r w:rsidRPr="00D06CB8">
        <w:rPr>
          <w:rFonts w:ascii="Bookman Old Style" w:eastAsia="Calibri" w:hAnsi="Bookman Old Style"/>
          <w:b/>
          <w:bCs/>
          <w:sz w:val="27"/>
          <w:szCs w:val="27"/>
          <w:lang w:val="es-ES" w:eastAsia="es-ES"/>
        </w:rPr>
        <w:lastRenderedPageBreak/>
        <w:t>C.</w:t>
      </w:r>
      <w:r w:rsidRPr="00D06CB8">
        <w:rPr>
          <w:sz w:val="27"/>
          <w:szCs w:val="27"/>
        </w:rPr>
        <w:tab/>
      </w:r>
      <w:r w:rsidRPr="00D06CB8">
        <w:rPr>
          <w:rFonts w:ascii="Bookman Old Style" w:eastAsia="Calibri" w:hAnsi="Bookman Old Style"/>
          <w:b/>
          <w:bCs/>
          <w:sz w:val="27"/>
          <w:szCs w:val="27"/>
          <w:lang w:val="es-ES" w:eastAsia="es-ES"/>
        </w:rPr>
        <w:t>Cuestión previa</w:t>
      </w:r>
    </w:p>
    <w:p w14:paraId="40A7D819" w14:textId="77777777" w:rsidR="00F17E7A" w:rsidRPr="00D06CB8" w:rsidRDefault="00F17E7A" w:rsidP="0056217D">
      <w:pPr>
        <w:spacing w:after="0" w:line="360" w:lineRule="auto"/>
        <w:ind w:firstLine="567"/>
        <w:contextualSpacing/>
        <w:jc w:val="both"/>
        <w:rPr>
          <w:rFonts w:ascii="Bookman Old Style" w:eastAsia="Calibri" w:hAnsi="Bookman Old Style"/>
          <w:sz w:val="27"/>
          <w:szCs w:val="27"/>
          <w:lang w:eastAsia="es-ES"/>
        </w:rPr>
      </w:pPr>
    </w:p>
    <w:p w14:paraId="021A1BB7" w14:textId="4FD58931" w:rsidR="00F17E7A" w:rsidRPr="00D06CB8" w:rsidRDefault="00F17E7A" w:rsidP="6F994DCF">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4.</w:t>
      </w:r>
      <w:r w:rsidRPr="00D06CB8">
        <w:rPr>
          <w:sz w:val="27"/>
          <w:szCs w:val="27"/>
        </w:rPr>
        <w:tab/>
      </w:r>
      <w:r w:rsidRPr="00D06CB8">
        <w:rPr>
          <w:rFonts w:ascii="Bookman Old Style" w:eastAsia="Calibri" w:hAnsi="Bookman Old Style"/>
          <w:sz w:val="27"/>
          <w:szCs w:val="27"/>
          <w:lang w:eastAsia="es-ES"/>
        </w:rPr>
        <w:t>Antes de iniciar el desarrollo de la providencia, la Corte aclara que no acoge el planteamiento formulado por el apoderado de la víctima como no recurrente</w:t>
      </w:r>
      <w:r w:rsidR="00733637"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w:t>
      </w:r>
      <w:r w:rsidR="00733637" w:rsidRPr="00D06CB8">
        <w:rPr>
          <w:rFonts w:ascii="Bookman Old Style" w:eastAsia="Calibri" w:hAnsi="Bookman Old Style"/>
          <w:sz w:val="27"/>
          <w:szCs w:val="27"/>
          <w:lang w:eastAsia="es-ES"/>
        </w:rPr>
        <w:t xml:space="preserve">Este </w:t>
      </w:r>
      <w:r w:rsidRPr="00D06CB8">
        <w:rPr>
          <w:rFonts w:ascii="Bookman Old Style" w:eastAsia="Calibri" w:hAnsi="Bookman Old Style"/>
          <w:sz w:val="27"/>
          <w:szCs w:val="27"/>
          <w:lang w:eastAsia="es-ES"/>
        </w:rPr>
        <w:t>solicitó declarar desierta la impugnación especial</w:t>
      </w:r>
      <w:r w:rsidR="00AD45CE" w:rsidRPr="00D06CB8">
        <w:rPr>
          <w:rFonts w:ascii="Bookman Old Style" w:eastAsia="Calibri" w:hAnsi="Bookman Old Style"/>
          <w:sz w:val="27"/>
          <w:szCs w:val="27"/>
          <w:lang w:eastAsia="es-ES"/>
        </w:rPr>
        <w:t>. Consideró</w:t>
      </w:r>
      <w:r w:rsidRPr="00D06CB8">
        <w:rPr>
          <w:rFonts w:ascii="Bookman Old Style" w:eastAsia="Calibri" w:hAnsi="Bookman Old Style"/>
          <w:sz w:val="27"/>
          <w:szCs w:val="27"/>
          <w:lang w:eastAsia="es-ES"/>
        </w:rPr>
        <w:t xml:space="preserve"> que el </w:t>
      </w:r>
      <w:r w:rsidR="00733637" w:rsidRPr="00D06CB8">
        <w:rPr>
          <w:rFonts w:ascii="Bookman Old Style" w:eastAsia="Calibri" w:hAnsi="Bookman Old Style"/>
          <w:sz w:val="27"/>
          <w:szCs w:val="27"/>
          <w:lang w:eastAsia="es-ES"/>
        </w:rPr>
        <w:t xml:space="preserve">recurrente </w:t>
      </w:r>
      <w:r w:rsidRPr="00D06CB8">
        <w:rPr>
          <w:rFonts w:ascii="Bookman Old Style" w:eastAsia="Calibri" w:hAnsi="Bookman Old Style"/>
          <w:sz w:val="27"/>
          <w:szCs w:val="27"/>
          <w:lang w:eastAsia="es-ES"/>
        </w:rPr>
        <w:t xml:space="preserve">no logró exponer los elementos concretos de disenso frente a la sentencia de segunda instancia, por cuanto únicamente reiteró lo dicho </w:t>
      </w:r>
      <w:r w:rsidR="00133091" w:rsidRPr="00D06CB8">
        <w:rPr>
          <w:rFonts w:ascii="Bookman Old Style" w:eastAsia="Calibri" w:hAnsi="Bookman Old Style"/>
          <w:sz w:val="27"/>
          <w:szCs w:val="27"/>
          <w:lang w:eastAsia="es-ES"/>
        </w:rPr>
        <w:t xml:space="preserve">en </w:t>
      </w:r>
      <w:r w:rsidR="72515677" w:rsidRPr="00D06CB8">
        <w:rPr>
          <w:rFonts w:ascii="Bookman Old Style" w:eastAsia="Calibri" w:hAnsi="Bookman Old Style"/>
          <w:sz w:val="27"/>
          <w:szCs w:val="27"/>
          <w:lang w:eastAsia="es-ES"/>
        </w:rPr>
        <w:t>el alegato de conclusión.</w:t>
      </w:r>
    </w:p>
    <w:p w14:paraId="3EA5ECC9" w14:textId="77777777" w:rsidR="00F17E7A" w:rsidRPr="00D06CB8" w:rsidRDefault="00F17E7A" w:rsidP="0056217D">
      <w:pPr>
        <w:spacing w:after="0" w:line="360" w:lineRule="auto"/>
        <w:ind w:firstLine="567"/>
        <w:contextualSpacing/>
        <w:jc w:val="both"/>
        <w:rPr>
          <w:rFonts w:ascii="Bookman Old Style" w:eastAsia="Calibri" w:hAnsi="Bookman Old Style"/>
          <w:sz w:val="27"/>
          <w:szCs w:val="27"/>
          <w:lang w:eastAsia="es-ES"/>
        </w:rPr>
      </w:pPr>
    </w:p>
    <w:p w14:paraId="7AB3CE41" w14:textId="629EEA4A" w:rsidR="00F17E7A" w:rsidRPr="00D06CB8" w:rsidRDefault="00F17E7A" w:rsidP="6F994DCF">
      <w:pPr>
        <w:spacing w:after="0" w:line="360" w:lineRule="auto"/>
        <w:ind w:firstLine="567"/>
        <w:contextualSpacing/>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La Sala no comparte esa propuesta, pues la lectura de la sustentación del recurso permite identificar los temas en disputa</w:t>
      </w:r>
      <w:r w:rsidR="0E3A887E" w:rsidRPr="00D06CB8">
        <w:rPr>
          <w:rFonts w:ascii="Bookman Old Style" w:eastAsia="Calibri" w:hAnsi="Bookman Old Style"/>
          <w:sz w:val="27"/>
          <w:szCs w:val="27"/>
          <w:lang w:val="es-ES" w:eastAsia="es-ES"/>
        </w:rPr>
        <w:t xml:space="preserve"> y los puntos de vista en contrario del recurrente.</w:t>
      </w:r>
      <w:r w:rsidRPr="00D06CB8">
        <w:rPr>
          <w:rFonts w:ascii="Bookman Old Style" w:eastAsia="Calibri" w:hAnsi="Bookman Old Style"/>
          <w:sz w:val="27"/>
          <w:szCs w:val="27"/>
          <w:lang w:val="es-ES" w:eastAsia="es-ES"/>
        </w:rPr>
        <w:t xml:space="preserve"> Además, acude al denominado “principio de caridad”</w:t>
      </w:r>
      <w:r w:rsidRPr="00D06CB8">
        <w:rPr>
          <w:rStyle w:val="Refdenotaalpie"/>
          <w:rFonts w:ascii="Bookman Old Style" w:eastAsiaTheme="majorEastAsia" w:hAnsi="Bookman Old Style"/>
          <w:sz w:val="27"/>
          <w:szCs w:val="27"/>
          <w:lang w:val="es-ES"/>
        </w:rPr>
        <w:footnoteReference w:id="10"/>
      </w:r>
      <w:r w:rsidRPr="00D06CB8">
        <w:rPr>
          <w:rFonts w:ascii="Bookman Old Style" w:eastAsia="Calibri" w:hAnsi="Bookman Old Style"/>
          <w:sz w:val="27"/>
          <w:szCs w:val="27"/>
          <w:lang w:val="es-ES" w:eastAsia="es-ES"/>
        </w:rPr>
        <w:t xml:space="preserve">, y por ello esta Corporación analizará lo que logra </w:t>
      </w:r>
      <w:r w:rsidR="0056217D" w:rsidRPr="00D06CB8">
        <w:rPr>
          <w:rFonts w:ascii="Bookman Old Style" w:eastAsia="Calibri" w:hAnsi="Bookman Old Style"/>
          <w:sz w:val="27"/>
          <w:szCs w:val="27"/>
          <w:lang w:val="es-ES" w:eastAsia="es-ES"/>
        </w:rPr>
        <w:t>identificar</w:t>
      </w:r>
      <w:r w:rsidRPr="00D06CB8">
        <w:rPr>
          <w:rFonts w:ascii="Bookman Old Style" w:eastAsia="Calibri" w:hAnsi="Bookman Old Style"/>
          <w:sz w:val="27"/>
          <w:szCs w:val="27"/>
          <w:lang w:val="es-ES" w:eastAsia="es-ES"/>
        </w:rPr>
        <w:t xml:space="preserve"> de los reproches planteados, sin que ello implique ninguna laxitud en la verificación de si se cumplió el deber de enunciar </w:t>
      </w:r>
      <w:r w:rsidR="00133091" w:rsidRPr="00D06CB8">
        <w:rPr>
          <w:rFonts w:ascii="Bookman Old Style" w:eastAsia="Calibri" w:hAnsi="Bookman Old Style"/>
          <w:sz w:val="27"/>
          <w:szCs w:val="27"/>
          <w:lang w:val="es-ES" w:eastAsia="es-ES"/>
        </w:rPr>
        <w:t>su disenso</w:t>
      </w:r>
      <w:r w:rsidRPr="00D06CB8">
        <w:rPr>
          <w:rFonts w:ascii="Bookman Old Style" w:eastAsia="Calibri" w:hAnsi="Bookman Old Style"/>
          <w:sz w:val="27"/>
          <w:szCs w:val="27"/>
          <w:lang w:val="es-ES" w:eastAsia="es-ES"/>
        </w:rPr>
        <w:t xml:space="preserve"> </w:t>
      </w:r>
      <w:r w:rsidR="00133091" w:rsidRPr="00D06CB8">
        <w:rPr>
          <w:rFonts w:ascii="Bookman Old Style" w:eastAsia="Calibri" w:hAnsi="Bookman Old Style"/>
          <w:sz w:val="27"/>
          <w:szCs w:val="27"/>
          <w:lang w:val="es-ES" w:eastAsia="es-ES"/>
        </w:rPr>
        <w:t xml:space="preserve">de </w:t>
      </w:r>
      <w:r w:rsidRPr="00D06CB8">
        <w:rPr>
          <w:rFonts w:ascii="Bookman Old Style" w:eastAsia="Calibri" w:hAnsi="Bookman Old Style"/>
          <w:sz w:val="27"/>
          <w:szCs w:val="27"/>
          <w:lang w:val="es-ES" w:eastAsia="es-ES"/>
        </w:rPr>
        <w:t>forma clara y precisa.</w:t>
      </w:r>
    </w:p>
    <w:p w14:paraId="6796B975" w14:textId="77777777" w:rsidR="00F17E7A" w:rsidRPr="00D06CB8" w:rsidRDefault="00F17E7A" w:rsidP="0056217D">
      <w:pPr>
        <w:spacing w:after="0" w:line="360" w:lineRule="auto"/>
        <w:ind w:firstLine="567"/>
        <w:contextualSpacing/>
        <w:jc w:val="both"/>
        <w:rPr>
          <w:rFonts w:ascii="Bookman Old Style" w:eastAsia="Calibri" w:hAnsi="Bookman Old Style"/>
          <w:sz w:val="27"/>
          <w:szCs w:val="27"/>
          <w:lang w:eastAsia="es-ES"/>
        </w:rPr>
      </w:pPr>
    </w:p>
    <w:p w14:paraId="45FD6696" w14:textId="603E3402" w:rsidR="00520EBC" w:rsidRPr="00D06CB8" w:rsidRDefault="00F17E7A" w:rsidP="0056217D">
      <w:pPr>
        <w:pStyle w:val="Textoindependiente3"/>
        <w:tabs>
          <w:tab w:val="left" w:pos="885"/>
          <w:tab w:val="center" w:pos="4111"/>
        </w:tabs>
        <w:suppressAutoHyphens/>
        <w:autoSpaceDN w:val="0"/>
        <w:spacing w:after="0" w:line="360" w:lineRule="auto"/>
        <w:ind w:firstLine="567"/>
        <w:jc w:val="both"/>
        <w:rPr>
          <w:rStyle w:val="eop"/>
          <w:rFonts w:ascii="Bookman Old Style" w:hAnsi="Bookman Old Style"/>
          <w:b/>
          <w:bCs/>
          <w:sz w:val="27"/>
          <w:szCs w:val="27"/>
        </w:rPr>
      </w:pPr>
      <w:r w:rsidRPr="00D06CB8">
        <w:rPr>
          <w:rFonts w:ascii="Bookman Old Style" w:eastAsia="Calibri" w:hAnsi="Bookman Old Style"/>
          <w:b/>
          <w:bCs/>
          <w:sz w:val="27"/>
          <w:szCs w:val="27"/>
          <w:lang w:eastAsia="es-ES"/>
        </w:rPr>
        <w:t>D</w:t>
      </w:r>
      <w:r w:rsidR="00520EBC" w:rsidRPr="00D06CB8">
        <w:rPr>
          <w:rFonts w:ascii="Bookman Old Style" w:eastAsia="Calibri" w:hAnsi="Bookman Old Style"/>
          <w:b/>
          <w:bCs/>
          <w:sz w:val="27"/>
          <w:szCs w:val="27"/>
          <w:lang w:eastAsia="es-ES"/>
        </w:rPr>
        <w:t xml:space="preserve">. </w:t>
      </w:r>
      <w:r w:rsidR="00520EBC" w:rsidRPr="00D06CB8">
        <w:rPr>
          <w:rFonts w:ascii="Bookman Old Style" w:eastAsia="Calibri" w:hAnsi="Bookman Old Style"/>
          <w:b/>
          <w:bCs/>
          <w:sz w:val="27"/>
          <w:szCs w:val="27"/>
          <w:lang w:eastAsia="es-ES"/>
        </w:rPr>
        <w:tab/>
      </w:r>
      <w:r w:rsidR="00520EBC" w:rsidRPr="00D06CB8">
        <w:rPr>
          <w:rStyle w:val="normaltextrun"/>
          <w:rFonts w:ascii="Bookman Old Style" w:eastAsiaTheme="majorEastAsia" w:hAnsi="Bookman Old Style"/>
          <w:b/>
          <w:bCs/>
          <w:color w:val="000000"/>
          <w:sz w:val="27"/>
          <w:szCs w:val="27"/>
          <w:shd w:val="clear" w:color="auto" w:fill="FFFFFF"/>
        </w:rPr>
        <w:t>Planteamiento del problema jurídico y estructura de la decisión</w:t>
      </w:r>
      <w:r w:rsidR="00520EBC" w:rsidRPr="00D06CB8">
        <w:rPr>
          <w:rStyle w:val="eop"/>
          <w:rFonts w:ascii="Bookman Old Style" w:eastAsiaTheme="majorEastAsia" w:hAnsi="Bookman Old Style"/>
          <w:b/>
          <w:bCs/>
          <w:color w:val="000000"/>
          <w:sz w:val="27"/>
          <w:szCs w:val="27"/>
          <w:shd w:val="clear" w:color="auto" w:fill="FFFFFF"/>
        </w:rPr>
        <w:t> </w:t>
      </w:r>
    </w:p>
    <w:p w14:paraId="25555718"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p>
    <w:p w14:paraId="55FAFBF3" w14:textId="4A1B3D2A" w:rsidR="00520EBC" w:rsidRPr="00D06CB8" w:rsidRDefault="00F17E7A" w:rsidP="6F994DCF">
      <w:pPr>
        <w:spacing w:after="0" w:line="360" w:lineRule="auto"/>
        <w:ind w:firstLine="567"/>
        <w:contextualSpacing/>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5</w:t>
      </w:r>
      <w:r w:rsidR="00520EBC" w:rsidRPr="00D06CB8">
        <w:rPr>
          <w:rFonts w:ascii="Bookman Old Style" w:eastAsia="Calibri" w:hAnsi="Bookman Old Style"/>
          <w:sz w:val="27"/>
          <w:szCs w:val="27"/>
          <w:lang w:val="es-ES" w:eastAsia="es-ES"/>
        </w:rPr>
        <w:t xml:space="preserve">. La Sala Penal del Tribunal Superior de Ibagué, con base en las pruebas practicadas en el proceso, revocó la sentencia absolutoria proferida por el Juzgado Primero </w:t>
      </w:r>
      <w:r w:rsidR="00BD1D61" w:rsidRPr="00D06CB8">
        <w:rPr>
          <w:rFonts w:ascii="Bookman Old Style" w:eastAsia="Calibri" w:hAnsi="Bookman Old Style"/>
          <w:sz w:val="27"/>
          <w:szCs w:val="27"/>
          <w:lang w:val="es-ES" w:eastAsia="es-ES"/>
        </w:rPr>
        <w:t xml:space="preserve">Promiscuo Municipal de Purificación </w:t>
      </w:r>
      <w:r w:rsidR="00520EBC" w:rsidRPr="00D06CB8">
        <w:rPr>
          <w:rFonts w:ascii="Bookman Old Style" w:eastAsia="Calibri" w:hAnsi="Bookman Old Style"/>
          <w:sz w:val="27"/>
          <w:szCs w:val="27"/>
          <w:lang w:val="es-ES" w:eastAsia="es-ES"/>
        </w:rPr>
        <w:t xml:space="preserve">y declaró penalmente responsables a </w:t>
      </w:r>
      <w:r w:rsidR="00520EBC" w:rsidRPr="00D06CB8">
        <w:rPr>
          <w:rFonts w:ascii="Bookman Old Style" w:hAnsi="Bookman Old Style"/>
          <w:smallCaps/>
          <w:color w:val="000000"/>
          <w:spacing w:val="-3"/>
          <w:sz w:val="27"/>
          <w:szCs w:val="27"/>
          <w:lang w:val="es-ES"/>
        </w:rPr>
        <w:lastRenderedPageBreak/>
        <w:t>Armando Loaiza Céspedes</w:t>
      </w:r>
      <w:r w:rsidR="00520EBC" w:rsidRPr="00D06CB8">
        <w:rPr>
          <w:rFonts w:ascii="Bookman Old Style" w:hAnsi="Bookman Old Style"/>
          <w:color w:val="000000"/>
          <w:spacing w:val="-3"/>
          <w:sz w:val="27"/>
          <w:szCs w:val="27"/>
          <w:lang w:val="es-ES"/>
        </w:rPr>
        <w:t xml:space="preserve">, </w:t>
      </w:r>
      <w:r w:rsidR="00520EBC" w:rsidRPr="00D06CB8">
        <w:rPr>
          <w:rFonts w:ascii="Bookman Old Style" w:hAnsi="Bookman Old Style"/>
          <w:smallCaps/>
          <w:color w:val="000000"/>
          <w:spacing w:val="-3"/>
          <w:sz w:val="27"/>
          <w:szCs w:val="27"/>
          <w:lang w:val="es-ES"/>
        </w:rPr>
        <w:t>Luis Enrique Peña Camacho</w:t>
      </w:r>
      <w:r w:rsidR="00520EBC" w:rsidRPr="00D06CB8">
        <w:rPr>
          <w:rFonts w:ascii="Bookman Old Style" w:hAnsi="Bookman Old Style"/>
          <w:color w:val="000000"/>
          <w:spacing w:val="-3"/>
          <w:sz w:val="27"/>
          <w:szCs w:val="27"/>
          <w:lang w:val="es-ES"/>
        </w:rPr>
        <w:t xml:space="preserve"> y </w:t>
      </w:r>
      <w:r w:rsidR="0056217D" w:rsidRPr="00D06CB8">
        <w:rPr>
          <w:rFonts w:ascii="Bookman Old Style" w:hAnsi="Bookman Old Style"/>
          <w:smallCaps/>
          <w:color w:val="000000"/>
          <w:spacing w:val="-3"/>
          <w:sz w:val="27"/>
          <w:szCs w:val="27"/>
          <w:lang w:val="es-ES"/>
        </w:rPr>
        <w:t>É</w:t>
      </w:r>
      <w:r w:rsidR="00520EBC" w:rsidRPr="00D06CB8">
        <w:rPr>
          <w:rFonts w:ascii="Bookman Old Style" w:hAnsi="Bookman Old Style"/>
          <w:smallCaps/>
          <w:color w:val="000000"/>
          <w:spacing w:val="-3"/>
          <w:sz w:val="27"/>
          <w:szCs w:val="27"/>
          <w:lang w:val="es-ES"/>
        </w:rPr>
        <w:t>dgar Triana</w:t>
      </w:r>
      <w:r w:rsidR="00520EBC" w:rsidRPr="00D06CB8">
        <w:rPr>
          <w:rFonts w:ascii="Bookman Old Style" w:hAnsi="Bookman Old Style"/>
          <w:color w:val="000000"/>
          <w:spacing w:val="-3"/>
          <w:sz w:val="27"/>
          <w:szCs w:val="27"/>
          <w:lang w:val="es-ES"/>
        </w:rPr>
        <w:t xml:space="preserve"> por </w:t>
      </w:r>
      <w:r w:rsidR="00520EBC" w:rsidRPr="00D06CB8">
        <w:rPr>
          <w:rFonts w:ascii="Bookman Old Style" w:eastAsia="Calibri" w:hAnsi="Bookman Old Style"/>
          <w:sz w:val="27"/>
          <w:szCs w:val="27"/>
          <w:lang w:val="es-ES" w:eastAsia="es-ES"/>
        </w:rPr>
        <w:t>el delito de invasión de tierras o edificaciones, en su modalidad agravada.</w:t>
      </w:r>
    </w:p>
    <w:p w14:paraId="18A07704"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p>
    <w:p w14:paraId="5F0290D8" w14:textId="0ECA1460" w:rsidR="00520EBC" w:rsidRPr="00D06CB8" w:rsidRDefault="00520EBC" w:rsidP="6F994DCF">
      <w:pPr>
        <w:spacing w:after="0" w:line="360" w:lineRule="auto"/>
        <w:ind w:firstLine="567"/>
        <w:contextualSpacing/>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Frente a esa determinación, la defensa expresó su inconformidad</w:t>
      </w:r>
      <w:r w:rsidR="0056217D" w:rsidRPr="00D06CB8">
        <w:rPr>
          <w:rFonts w:ascii="Bookman Old Style" w:eastAsia="Calibri" w:hAnsi="Bookman Old Style"/>
          <w:sz w:val="27"/>
          <w:szCs w:val="27"/>
          <w:lang w:val="es-ES" w:eastAsia="es-ES"/>
        </w:rPr>
        <w:t>.</w:t>
      </w:r>
      <w:r w:rsidRPr="00D06CB8">
        <w:rPr>
          <w:rFonts w:ascii="Bookman Old Style" w:eastAsia="Calibri" w:hAnsi="Bookman Old Style"/>
          <w:sz w:val="27"/>
          <w:szCs w:val="27"/>
          <w:lang w:val="es-ES" w:eastAsia="es-ES"/>
        </w:rPr>
        <w:t xml:space="preserve"> </w:t>
      </w:r>
      <w:r w:rsidR="0056217D" w:rsidRPr="00D06CB8">
        <w:rPr>
          <w:rFonts w:ascii="Bookman Old Style" w:eastAsia="Calibri" w:hAnsi="Bookman Old Style"/>
          <w:sz w:val="27"/>
          <w:szCs w:val="27"/>
          <w:lang w:val="es-ES" w:eastAsia="es-ES"/>
        </w:rPr>
        <w:t>S</w:t>
      </w:r>
      <w:r w:rsidRPr="00D06CB8">
        <w:rPr>
          <w:rFonts w:ascii="Bookman Old Style" w:eastAsia="Calibri" w:hAnsi="Bookman Old Style"/>
          <w:sz w:val="27"/>
          <w:szCs w:val="27"/>
          <w:lang w:val="es-ES" w:eastAsia="es-ES"/>
        </w:rPr>
        <w:t xml:space="preserve">ostuvo que los procesados no invadieron un bien ajeno, porque siempre creyeron que ocupaban terrenos de la </w:t>
      </w:r>
      <w:r w:rsidR="0056217D" w:rsidRPr="00D06CB8">
        <w:rPr>
          <w:rFonts w:ascii="Bookman Old Style" w:eastAsia="Calibri" w:hAnsi="Bookman Old Style"/>
          <w:sz w:val="27"/>
          <w:szCs w:val="27"/>
          <w:lang w:val="es-ES" w:eastAsia="es-ES"/>
        </w:rPr>
        <w:t xml:space="preserve">represa de </w:t>
      </w:r>
      <w:r w:rsidRPr="00D06CB8">
        <w:rPr>
          <w:rFonts w:ascii="Bookman Old Style" w:eastAsia="Calibri" w:hAnsi="Bookman Old Style"/>
          <w:sz w:val="27"/>
          <w:szCs w:val="27"/>
          <w:lang w:val="es-ES" w:eastAsia="es-ES"/>
        </w:rPr>
        <w:t>Hidroprado</w:t>
      </w:r>
      <w:r w:rsidR="0094012D" w:rsidRPr="00D06CB8">
        <w:rPr>
          <w:rFonts w:ascii="Bookman Old Style" w:eastAsia="Calibri" w:hAnsi="Bookman Old Style"/>
          <w:sz w:val="27"/>
          <w:szCs w:val="27"/>
          <w:lang w:val="es-ES" w:eastAsia="es-ES"/>
        </w:rPr>
        <w:t xml:space="preserve">, propiedad de </w:t>
      </w:r>
      <w:r w:rsidR="0094012D" w:rsidRPr="00D06CB8">
        <w:rPr>
          <w:rFonts w:ascii="Bookman Old Style" w:hAnsi="Bookman Old Style"/>
          <w:color w:val="000000"/>
          <w:spacing w:val="-3"/>
          <w:sz w:val="27"/>
          <w:szCs w:val="27"/>
          <w:shd w:val="clear" w:color="auto" w:fill="FFFFFF" w:themeFill="background1"/>
          <w:lang w:val="es-ES"/>
        </w:rPr>
        <w:t xml:space="preserve">EPSA, </w:t>
      </w:r>
      <w:r w:rsidRPr="00D06CB8">
        <w:rPr>
          <w:rFonts w:ascii="Bookman Old Style" w:eastAsia="Calibri" w:hAnsi="Bookman Old Style"/>
          <w:sz w:val="27"/>
          <w:szCs w:val="27"/>
          <w:lang w:val="es-ES" w:eastAsia="es-ES"/>
        </w:rPr>
        <w:t xml:space="preserve">y no de la finca “Las Mercedes”; por eso invocó </w:t>
      </w:r>
      <w:r w:rsidR="0056217D" w:rsidRPr="00D06CB8">
        <w:rPr>
          <w:rFonts w:ascii="Bookman Old Style" w:eastAsia="Calibri" w:hAnsi="Bookman Old Style"/>
          <w:sz w:val="27"/>
          <w:szCs w:val="27"/>
          <w:lang w:val="es-ES" w:eastAsia="es-ES"/>
        </w:rPr>
        <w:t xml:space="preserve">la atipicidad de la conducta por ausencia de dolo, así como </w:t>
      </w:r>
      <w:r w:rsidRPr="00D06CB8">
        <w:rPr>
          <w:rFonts w:ascii="Bookman Old Style" w:eastAsia="Calibri" w:hAnsi="Bookman Old Style"/>
          <w:sz w:val="27"/>
          <w:szCs w:val="27"/>
          <w:lang w:val="es-ES" w:eastAsia="es-ES"/>
        </w:rPr>
        <w:t xml:space="preserve">un error de tipo invencible. Además, indicó que la ocupación fue previa a la entrega material del predio a la querellante, por lo que no hay prueba suficiente sobre la ajenidad del </w:t>
      </w:r>
      <w:r w:rsidR="3729E48E" w:rsidRPr="00D06CB8">
        <w:rPr>
          <w:rFonts w:ascii="Bookman Old Style" w:eastAsia="Calibri" w:hAnsi="Bookman Old Style"/>
          <w:sz w:val="27"/>
          <w:szCs w:val="27"/>
          <w:lang w:val="es-ES" w:eastAsia="es-ES"/>
        </w:rPr>
        <w:t>bien,</w:t>
      </w:r>
      <w:r w:rsidRPr="00D06CB8">
        <w:rPr>
          <w:rFonts w:ascii="Bookman Old Style" w:eastAsia="Calibri" w:hAnsi="Bookman Old Style"/>
          <w:sz w:val="27"/>
          <w:szCs w:val="27"/>
          <w:lang w:val="es-ES" w:eastAsia="es-ES"/>
        </w:rPr>
        <w:t xml:space="preserve"> así como la fecha de inicio de la ocupación. Con base en ello </w:t>
      </w:r>
      <w:r w:rsidR="0056217D" w:rsidRPr="00D06CB8">
        <w:rPr>
          <w:rFonts w:ascii="Bookman Old Style" w:eastAsia="Calibri" w:hAnsi="Bookman Old Style"/>
          <w:sz w:val="27"/>
          <w:szCs w:val="27"/>
          <w:lang w:val="es-ES" w:eastAsia="es-ES"/>
        </w:rPr>
        <w:t>pid</w:t>
      </w:r>
      <w:r w:rsidR="00AD45CE" w:rsidRPr="00D06CB8">
        <w:rPr>
          <w:rFonts w:ascii="Bookman Old Style" w:eastAsia="Calibri" w:hAnsi="Bookman Old Style"/>
          <w:sz w:val="27"/>
          <w:szCs w:val="27"/>
          <w:lang w:val="es-ES" w:eastAsia="es-ES"/>
        </w:rPr>
        <w:t>ió</w:t>
      </w:r>
      <w:r w:rsidRPr="00D06CB8">
        <w:rPr>
          <w:rFonts w:ascii="Bookman Old Style" w:eastAsia="Calibri" w:hAnsi="Bookman Old Style"/>
          <w:sz w:val="27"/>
          <w:szCs w:val="27"/>
          <w:lang w:val="es-ES" w:eastAsia="es-ES"/>
        </w:rPr>
        <w:t xml:space="preserve"> la absolución.</w:t>
      </w:r>
    </w:p>
    <w:p w14:paraId="007B97BF"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p>
    <w:p w14:paraId="207935BB" w14:textId="5D6DBAF5" w:rsidR="00520EBC" w:rsidRPr="00D06CB8" w:rsidRDefault="00F17E7A" w:rsidP="6F994DCF">
      <w:pPr>
        <w:spacing w:after="0" w:line="360" w:lineRule="auto"/>
        <w:ind w:firstLine="567"/>
        <w:contextualSpacing/>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6</w:t>
      </w:r>
      <w:r w:rsidR="00520EBC" w:rsidRPr="00D06CB8">
        <w:rPr>
          <w:rFonts w:ascii="Bookman Old Style" w:eastAsia="Calibri" w:hAnsi="Bookman Old Style"/>
          <w:sz w:val="27"/>
          <w:szCs w:val="27"/>
          <w:lang w:val="es-ES" w:eastAsia="es-ES"/>
        </w:rPr>
        <w:t xml:space="preserve">. En este contexto, la Corte debe determinar si, a partir de las pruebas debidamente practicadas e incorporadas al proceso, concurren los presupuestos para atribuir responsabilidad penal a </w:t>
      </w:r>
      <w:r w:rsidR="00520EBC" w:rsidRPr="00D06CB8">
        <w:rPr>
          <w:rFonts w:ascii="Bookman Old Style" w:hAnsi="Bookman Old Style"/>
          <w:smallCaps/>
          <w:color w:val="000000"/>
          <w:spacing w:val="-3"/>
          <w:sz w:val="27"/>
          <w:szCs w:val="27"/>
          <w:lang w:val="es-ES"/>
        </w:rPr>
        <w:t>Armando Loaiza Céspedes</w:t>
      </w:r>
      <w:r w:rsidR="00520EBC" w:rsidRPr="00D06CB8">
        <w:rPr>
          <w:rFonts w:ascii="Bookman Old Style" w:hAnsi="Bookman Old Style"/>
          <w:color w:val="000000"/>
          <w:spacing w:val="-3"/>
          <w:sz w:val="27"/>
          <w:szCs w:val="27"/>
          <w:lang w:val="es-ES"/>
        </w:rPr>
        <w:t xml:space="preserve">, </w:t>
      </w:r>
      <w:r w:rsidR="00520EBC" w:rsidRPr="00D06CB8">
        <w:rPr>
          <w:rFonts w:ascii="Bookman Old Style" w:hAnsi="Bookman Old Style"/>
          <w:smallCaps/>
          <w:color w:val="000000"/>
          <w:spacing w:val="-3"/>
          <w:sz w:val="27"/>
          <w:szCs w:val="27"/>
          <w:lang w:val="es-ES"/>
        </w:rPr>
        <w:t>Luis Enrique Peña Camacho</w:t>
      </w:r>
      <w:r w:rsidR="00520EBC" w:rsidRPr="00D06CB8">
        <w:rPr>
          <w:rFonts w:ascii="Bookman Old Style" w:hAnsi="Bookman Old Style"/>
          <w:color w:val="000000"/>
          <w:spacing w:val="-3"/>
          <w:sz w:val="27"/>
          <w:szCs w:val="27"/>
          <w:lang w:val="es-ES"/>
        </w:rPr>
        <w:t xml:space="preserve"> y </w:t>
      </w:r>
      <w:r w:rsidR="0056217D" w:rsidRPr="00D06CB8">
        <w:rPr>
          <w:rFonts w:ascii="Bookman Old Style" w:hAnsi="Bookman Old Style"/>
          <w:smallCaps/>
          <w:color w:val="000000"/>
          <w:spacing w:val="-3"/>
          <w:sz w:val="27"/>
          <w:szCs w:val="27"/>
          <w:lang w:val="es-ES"/>
        </w:rPr>
        <w:t>É</w:t>
      </w:r>
      <w:r w:rsidR="00520EBC" w:rsidRPr="00D06CB8">
        <w:rPr>
          <w:rFonts w:ascii="Bookman Old Style" w:hAnsi="Bookman Old Style"/>
          <w:smallCaps/>
          <w:color w:val="000000"/>
          <w:spacing w:val="-3"/>
          <w:sz w:val="27"/>
          <w:szCs w:val="27"/>
          <w:lang w:val="es-ES"/>
        </w:rPr>
        <w:t>dgar Triana</w:t>
      </w:r>
      <w:r w:rsidR="00520EBC" w:rsidRPr="00D06CB8">
        <w:rPr>
          <w:rFonts w:ascii="Bookman Old Style" w:hAnsi="Bookman Old Style"/>
          <w:color w:val="000000"/>
          <w:spacing w:val="-3"/>
          <w:sz w:val="27"/>
          <w:szCs w:val="27"/>
          <w:lang w:val="es-ES"/>
        </w:rPr>
        <w:t xml:space="preserve"> </w:t>
      </w:r>
      <w:r w:rsidR="00520EBC" w:rsidRPr="00D06CB8">
        <w:rPr>
          <w:rFonts w:ascii="Bookman Old Style" w:eastAsia="Calibri" w:hAnsi="Bookman Old Style"/>
          <w:sz w:val="27"/>
          <w:szCs w:val="27"/>
          <w:lang w:val="es-ES" w:eastAsia="es-ES"/>
        </w:rPr>
        <w:t>por el delito de invasión de tierras</w:t>
      </w:r>
      <w:r w:rsidR="0056217D" w:rsidRPr="00D06CB8">
        <w:rPr>
          <w:rFonts w:ascii="Bookman Old Style" w:eastAsia="Calibri" w:hAnsi="Bookman Old Style"/>
          <w:sz w:val="27"/>
          <w:szCs w:val="27"/>
          <w:lang w:val="es-ES" w:eastAsia="es-ES"/>
        </w:rPr>
        <w:t>, agravado.</w:t>
      </w:r>
    </w:p>
    <w:p w14:paraId="650F1B61"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p>
    <w:p w14:paraId="0F9A326B" w14:textId="6188E08E" w:rsidR="00520EBC" w:rsidRPr="00D06CB8" w:rsidRDefault="00520EBC" w:rsidP="6F994DCF">
      <w:pPr>
        <w:spacing w:after="0" w:line="360" w:lineRule="auto"/>
        <w:ind w:firstLine="567"/>
        <w:contextualSpacing/>
        <w:jc w:val="both"/>
        <w:rPr>
          <w:rFonts w:ascii="Bookman Old Style" w:eastAsia="Bookman Old Style" w:hAnsi="Bookman Old Style" w:cs="Bookman Old Style"/>
          <w:sz w:val="27"/>
          <w:szCs w:val="27"/>
          <w:lang w:val="es-ES"/>
        </w:rPr>
      </w:pPr>
      <w:r w:rsidRPr="00D06CB8">
        <w:rPr>
          <w:rFonts w:ascii="Bookman Old Style" w:eastAsia="Calibri" w:hAnsi="Bookman Old Style"/>
          <w:sz w:val="27"/>
          <w:szCs w:val="27"/>
          <w:lang w:val="es-ES" w:eastAsia="es-ES"/>
        </w:rPr>
        <w:t xml:space="preserve">Para tal efecto, la Sala: </w:t>
      </w:r>
      <w:r w:rsidRPr="00D06CB8">
        <w:rPr>
          <w:rFonts w:ascii="Bookman Old Style" w:eastAsia="Calibri" w:hAnsi="Bookman Old Style"/>
          <w:i/>
          <w:iCs/>
          <w:sz w:val="27"/>
          <w:szCs w:val="27"/>
          <w:lang w:val="es-ES" w:eastAsia="es-ES"/>
        </w:rPr>
        <w:t>i)</w:t>
      </w:r>
      <w:r w:rsidRPr="00D06CB8">
        <w:rPr>
          <w:rFonts w:ascii="Bookman Old Style" w:eastAsia="Calibri" w:hAnsi="Bookman Old Style"/>
          <w:sz w:val="27"/>
          <w:szCs w:val="27"/>
          <w:lang w:val="es-ES" w:eastAsia="es-ES"/>
        </w:rPr>
        <w:t xml:space="preserve"> examinará la estructura típica del delito acusado</w:t>
      </w:r>
      <w:r w:rsidR="00F17E7A" w:rsidRPr="00D06CB8">
        <w:rPr>
          <w:rFonts w:ascii="Bookman Old Style" w:eastAsia="Calibri" w:hAnsi="Bookman Old Style"/>
          <w:sz w:val="27"/>
          <w:szCs w:val="27"/>
          <w:lang w:val="es-ES" w:eastAsia="es-ES"/>
        </w:rPr>
        <w:t>, así como la teoría del error de tipo</w:t>
      </w:r>
      <w:r w:rsidR="00AA14A7" w:rsidRPr="00D06CB8">
        <w:rPr>
          <w:rFonts w:ascii="Bookman Old Style" w:eastAsia="Calibri" w:hAnsi="Bookman Old Style"/>
          <w:sz w:val="27"/>
          <w:szCs w:val="27"/>
          <w:lang w:val="es-ES" w:eastAsia="es-ES"/>
        </w:rPr>
        <w:t>,</w:t>
      </w:r>
      <w:r w:rsidRPr="00D06CB8">
        <w:rPr>
          <w:rFonts w:ascii="Bookman Old Style" w:eastAsia="Calibri" w:hAnsi="Bookman Old Style"/>
          <w:sz w:val="27"/>
          <w:szCs w:val="27"/>
          <w:lang w:val="es-ES" w:eastAsia="es-ES"/>
        </w:rPr>
        <w:t xml:space="preserve"> </w:t>
      </w:r>
      <w:r w:rsidRPr="00D06CB8">
        <w:rPr>
          <w:rFonts w:ascii="Bookman Old Style" w:eastAsia="Calibri" w:hAnsi="Bookman Old Style"/>
          <w:i/>
          <w:iCs/>
          <w:sz w:val="27"/>
          <w:szCs w:val="27"/>
          <w:lang w:val="es-ES" w:eastAsia="es-ES"/>
        </w:rPr>
        <w:t>ii)</w:t>
      </w:r>
      <w:r w:rsidRPr="00D06CB8">
        <w:rPr>
          <w:rFonts w:ascii="Bookman Old Style" w:eastAsia="Calibri" w:hAnsi="Bookman Old Style"/>
          <w:sz w:val="27"/>
          <w:szCs w:val="27"/>
          <w:lang w:val="es-ES" w:eastAsia="es-ES"/>
        </w:rPr>
        <w:t xml:space="preserve"> someterá las pruebas de la Fiscalía y la defensa a un proceso crítico de valoración, y</w:t>
      </w:r>
      <w:r w:rsidRPr="00D06CB8">
        <w:rPr>
          <w:rFonts w:ascii="Bookman Old Style" w:eastAsia="Calibri" w:hAnsi="Bookman Old Style"/>
          <w:i/>
          <w:iCs/>
          <w:sz w:val="27"/>
          <w:szCs w:val="27"/>
          <w:lang w:val="es-ES" w:eastAsia="es-ES"/>
        </w:rPr>
        <w:t xml:space="preserve"> iii) </w:t>
      </w:r>
      <w:r w:rsidRPr="00D06CB8">
        <w:rPr>
          <w:rFonts w:ascii="Bookman Old Style" w:eastAsia="Bookman Old Style" w:hAnsi="Bookman Old Style" w:cs="Bookman Old Style"/>
          <w:sz w:val="27"/>
          <w:szCs w:val="27"/>
          <w:lang w:val="es-ES"/>
        </w:rPr>
        <w:t>expondrá la conclusión del análisis probatorio con el fin de establecer si la sentencia impugnada debe confirmarse, modificarse o revocarse.</w:t>
      </w:r>
    </w:p>
    <w:p w14:paraId="298CEA65" w14:textId="77777777" w:rsidR="00520EBC" w:rsidRPr="00D06CB8" w:rsidRDefault="00520EBC" w:rsidP="0056217D">
      <w:pPr>
        <w:spacing w:after="0" w:line="360" w:lineRule="auto"/>
        <w:ind w:firstLine="567"/>
        <w:contextualSpacing/>
        <w:jc w:val="both"/>
        <w:rPr>
          <w:rFonts w:ascii="Bookman Old Style" w:eastAsia="Bookman Old Style" w:hAnsi="Bookman Old Style" w:cs="Bookman Old Style"/>
          <w:sz w:val="27"/>
          <w:szCs w:val="27"/>
        </w:rPr>
      </w:pPr>
    </w:p>
    <w:p w14:paraId="1E08EF06" w14:textId="05547C33" w:rsidR="00520EBC" w:rsidRPr="00D06CB8" w:rsidRDefault="00F17E7A"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b/>
          <w:bCs/>
          <w:sz w:val="27"/>
          <w:szCs w:val="27"/>
          <w:lang w:eastAsia="es-ES"/>
        </w:rPr>
        <w:t xml:space="preserve">E. </w:t>
      </w:r>
      <w:r w:rsidR="00520EBC" w:rsidRPr="00D06CB8">
        <w:rPr>
          <w:rFonts w:ascii="Bookman Old Style" w:eastAsia="Calibri" w:hAnsi="Bookman Old Style"/>
          <w:b/>
          <w:bCs/>
          <w:sz w:val="27"/>
          <w:szCs w:val="27"/>
          <w:lang w:eastAsia="es-ES"/>
        </w:rPr>
        <w:t>Fundamentos de una declaratoria de responsabilidad</w:t>
      </w:r>
    </w:p>
    <w:p w14:paraId="6EAC4D50" w14:textId="46A2BAB0" w:rsidR="00520EBC" w:rsidRPr="00D06CB8" w:rsidRDefault="00F17E7A" w:rsidP="00D06CB8">
      <w:pPr>
        <w:spacing w:after="0" w:line="360" w:lineRule="auto"/>
        <w:ind w:firstLine="567"/>
        <w:contextualSpacing/>
        <w:jc w:val="both"/>
        <w:rPr>
          <w:rFonts w:ascii="Bookman Old Style" w:hAnsi="Bookman Old Style" w:cs="Open Sans"/>
          <w:sz w:val="27"/>
          <w:szCs w:val="27"/>
          <w:lang w:val="es-ES"/>
        </w:rPr>
      </w:pPr>
      <w:r w:rsidRPr="00D06CB8">
        <w:rPr>
          <w:rFonts w:ascii="Bookman Old Style" w:eastAsia="Calibri" w:hAnsi="Bookman Old Style"/>
          <w:sz w:val="27"/>
          <w:szCs w:val="27"/>
          <w:lang w:val="es-ES" w:eastAsia="es-ES"/>
        </w:rPr>
        <w:lastRenderedPageBreak/>
        <w:t>7</w:t>
      </w:r>
      <w:r w:rsidR="00520EBC" w:rsidRPr="00D06CB8">
        <w:rPr>
          <w:rFonts w:ascii="Bookman Old Style" w:eastAsia="Calibri" w:hAnsi="Bookman Old Style"/>
          <w:sz w:val="27"/>
          <w:szCs w:val="27"/>
          <w:lang w:val="es-ES" w:eastAsia="es-ES"/>
        </w:rPr>
        <w:t xml:space="preserve">. </w:t>
      </w:r>
      <w:r w:rsidR="00520EBC" w:rsidRPr="00D06CB8">
        <w:rPr>
          <w:rFonts w:ascii="Bookman Old Style" w:hAnsi="Bookman Old Style"/>
          <w:sz w:val="27"/>
          <w:szCs w:val="27"/>
          <w:lang w:val="es-ES"/>
        </w:rPr>
        <w:t>Según el</w:t>
      </w:r>
      <w:r w:rsidR="00520EBC" w:rsidRPr="00D06CB8">
        <w:rPr>
          <w:rFonts w:ascii="Bookman Old Style" w:hAnsi="Bookman Old Style"/>
          <w:sz w:val="27"/>
          <w:szCs w:val="27"/>
          <w:shd w:val="clear" w:color="auto" w:fill="FFFFFF"/>
          <w:lang w:val="es-ES"/>
        </w:rPr>
        <w:t xml:space="preserve"> artículo </w:t>
      </w:r>
      <w:r w:rsidR="00520EBC" w:rsidRPr="00D06CB8">
        <w:rPr>
          <w:rFonts w:ascii="Bookman Old Style" w:hAnsi="Bookman Old Style"/>
          <w:sz w:val="27"/>
          <w:szCs w:val="27"/>
          <w:lang w:val="es-ES"/>
        </w:rPr>
        <w:t>381 del C</w:t>
      </w:r>
      <w:r w:rsidR="00AD45CE" w:rsidRPr="00D06CB8">
        <w:rPr>
          <w:rFonts w:ascii="Bookman Old Style" w:hAnsi="Bookman Old Style"/>
          <w:sz w:val="27"/>
          <w:szCs w:val="27"/>
          <w:lang w:val="es-ES"/>
        </w:rPr>
        <w:t xml:space="preserve">ódigo de </w:t>
      </w:r>
      <w:r w:rsidR="00520EBC" w:rsidRPr="00D06CB8">
        <w:rPr>
          <w:rFonts w:ascii="Bookman Old Style" w:hAnsi="Bookman Old Style"/>
          <w:sz w:val="27"/>
          <w:szCs w:val="27"/>
          <w:lang w:val="es-ES"/>
        </w:rPr>
        <w:t>P</w:t>
      </w:r>
      <w:r w:rsidR="00AD45CE" w:rsidRPr="00D06CB8">
        <w:rPr>
          <w:rFonts w:ascii="Bookman Old Style" w:hAnsi="Bookman Old Style"/>
          <w:sz w:val="27"/>
          <w:szCs w:val="27"/>
          <w:lang w:val="es-ES"/>
        </w:rPr>
        <w:t xml:space="preserve">rocedimiento </w:t>
      </w:r>
      <w:r w:rsidR="00520EBC" w:rsidRPr="00D06CB8">
        <w:rPr>
          <w:rFonts w:ascii="Bookman Old Style" w:hAnsi="Bookman Old Style"/>
          <w:sz w:val="27"/>
          <w:szCs w:val="27"/>
          <w:lang w:val="es-ES"/>
        </w:rPr>
        <w:t>P</w:t>
      </w:r>
      <w:r w:rsidR="00AD45CE" w:rsidRPr="00D06CB8">
        <w:rPr>
          <w:rFonts w:ascii="Bookman Old Style" w:hAnsi="Bookman Old Style"/>
          <w:sz w:val="27"/>
          <w:szCs w:val="27"/>
          <w:lang w:val="es-ES"/>
        </w:rPr>
        <w:t>enal (CPP)</w:t>
      </w:r>
      <w:r w:rsidR="00733637" w:rsidRPr="00D06CB8">
        <w:rPr>
          <w:rFonts w:ascii="Bookman Old Style" w:hAnsi="Bookman Old Style"/>
          <w:sz w:val="27"/>
          <w:szCs w:val="27"/>
          <w:lang w:val="es-ES"/>
        </w:rPr>
        <w:t>,</w:t>
      </w:r>
      <w:r w:rsidR="00520EBC" w:rsidRPr="00D06CB8">
        <w:rPr>
          <w:rFonts w:ascii="Bookman Old Style" w:hAnsi="Bookman Old Style"/>
          <w:sz w:val="27"/>
          <w:szCs w:val="27"/>
          <w:lang w:val="es-ES"/>
        </w:rPr>
        <w:t xml:space="preserve"> para declarar la responsabilidad penal es necesario un </w:t>
      </w:r>
      <w:r w:rsidR="00520EBC" w:rsidRPr="00D06CB8">
        <w:rPr>
          <w:rFonts w:ascii="Bookman Old Style" w:hAnsi="Bookman Old Style" w:cs="Open Sans"/>
          <w:sz w:val="27"/>
          <w:szCs w:val="27"/>
          <w:lang w:val="es-ES"/>
        </w:rPr>
        <w:t xml:space="preserve">conocimiento más allá de toda duda razonable acerca del delito y de la responsabilidad penal del acusado, fundado en las pruebas debatidas en el juicio. Igualmente, indica que una decisión adversa </w:t>
      </w:r>
      <w:r w:rsidR="0056217D" w:rsidRPr="00D06CB8">
        <w:rPr>
          <w:rFonts w:ascii="Bookman Old Style" w:hAnsi="Bookman Old Style" w:cs="Open Sans"/>
          <w:i/>
          <w:iCs/>
          <w:sz w:val="27"/>
          <w:szCs w:val="27"/>
          <w:lang w:val="es-ES"/>
        </w:rPr>
        <w:t>“</w:t>
      </w:r>
      <w:r w:rsidR="00520EBC" w:rsidRPr="00D06CB8">
        <w:rPr>
          <w:rFonts w:ascii="Bookman Old Style" w:hAnsi="Bookman Old Style" w:cs="Open Sans"/>
          <w:sz w:val="27"/>
          <w:szCs w:val="27"/>
          <w:lang w:val="es-ES"/>
        </w:rPr>
        <w:t>no podrá fundamentarse exclusivamente en pruebas de referencia</w:t>
      </w:r>
      <w:r w:rsidR="0056217D" w:rsidRPr="00D06CB8">
        <w:rPr>
          <w:rFonts w:ascii="Bookman Old Style" w:hAnsi="Bookman Old Style" w:cs="Open Sans"/>
          <w:sz w:val="27"/>
          <w:szCs w:val="27"/>
          <w:lang w:val="es-ES"/>
        </w:rPr>
        <w:t>”</w:t>
      </w:r>
      <w:r w:rsidR="00520EBC" w:rsidRPr="00D06CB8">
        <w:rPr>
          <w:rFonts w:ascii="Bookman Old Style" w:hAnsi="Bookman Old Style" w:cs="Open Sans"/>
          <w:sz w:val="27"/>
          <w:szCs w:val="27"/>
          <w:lang w:val="es-ES"/>
        </w:rPr>
        <w:t>. Esta exigencia resulta acorde con la especial trascendencia de la declaratoria de responsabilidad penal, cuyo estándar probatorio es el más riguroso del ordenamiento, dadas las consecuencias punitivas que le son inherentes.</w:t>
      </w:r>
    </w:p>
    <w:p w14:paraId="631EED92" w14:textId="77777777" w:rsidR="00520EBC" w:rsidRPr="00D06CB8" w:rsidRDefault="00520EBC" w:rsidP="0056217D">
      <w:pPr>
        <w:pStyle w:val="NormalWeb"/>
        <w:spacing w:after="0" w:line="360" w:lineRule="auto"/>
        <w:ind w:firstLine="567"/>
        <w:jc w:val="both"/>
        <w:rPr>
          <w:rFonts w:ascii="Bookman Old Style" w:eastAsia="Bookman Old Style" w:hAnsi="Bookman Old Style" w:cs="Bookman Old Style"/>
          <w:sz w:val="27"/>
          <w:szCs w:val="27"/>
        </w:rPr>
      </w:pPr>
    </w:p>
    <w:p w14:paraId="348CEF74" w14:textId="40C1F873" w:rsidR="00520EBC" w:rsidRPr="00D06CB8" w:rsidRDefault="00F17E7A" w:rsidP="0056217D">
      <w:pPr>
        <w:spacing w:after="0" w:line="360" w:lineRule="auto"/>
        <w:ind w:firstLine="567"/>
        <w:contextualSpacing/>
        <w:jc w:val="both"/>
        <w:rPr>
          <w:rFonts w:ascii="Bookman Old Style" w:eastAsia="Calibri" w:hAnsi="Bookman Old Style"/>
          <w:b/>
          <w:bCs/>
          <w:sz w:val="27"/>
          <w:szCs w:val="27"/>
          <w:lang w:eastAsia="es-ES"/>
        </w:rPr>
      </w:pPr>
      <w:r w:rsidRPr="00D06CB8">
        <w:rPr>
          <w:rFonts w:ascii="Bookman Old Style" w:eastAsia="Calibri" w:hAnsi="Bookman Old Style"/>
          <w:b/>
          <w:bCs/>
          <w:sz w:val="27"/>
          <w:szCs w:val="27"/>
          <w:lang w:eastAsia="es-ES"/>
        </w:rPr>
        <w:t>F</w:t>
      </w:r>
      <w:r w:rsidR="00520EBC" w:rsidRPr="00D06CB8">
        <w:rPr>
          <w:rFonts w:ascii="Bookman Old Style" w:eastAsia="Calibri" w:hAnsi="Bookman Old Style"/>
          <w:b/>
          <w:bCs/>
          <w:sz w:val="27"/>
          <w:szCs w:val="27"/>
          <w:lang w:eastAsia="es-ES"/>
        </w:rPr>
        <w:t xml:space="preserve">. Estructura típica del delito de invasión de tierras o edificaciones </w:t>
      </w:r>
    </w:p>
    <w:p w14:paraId="1DCB00D2" w14:textId="77777777" w:rsidR="00520EBC" w:rsidRPr="00D06CB8" w:rsidRDefault="00520EBC" w:rsidP="0056217D">
      <w:pPr>
        <w:spacing w:after="0" w:line="360" w:lineRule="auto"/>
        <w:ind w:firstLine="567"/>
        <w:contextualSpacing/>
        <w:jc w:val="both"/>
        <w:rPr>
          <w:rFonts w:ascii="Bookman Old Style" w:eastAsia="Calibri" w:hAnsi="Bookman Old Style"/>
          <w:b/>
          <w:bCs/>
          <w:sz w:val="27"/>
          <w:szCs w:val="27"/>
          <w:lang w:eastAsia="es-ES"/>
        </w:rPr>
      </w:pPr>
    </w:p>
    <w:p w14:paraId="78EA10CD" w14:textId="39BF7CC0" w:rsidR="00F17E7A" w:rsidRPr="00D06CB8" w:rsidRDefault="00520EBC"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 El artículo 263 </w:t>
      </w:r>
      <w:r w:rsidR="0056217D" w:rsidRPr="00D06CB8">
        <w:rPr>
          <w:rFonts w:ascii="Bookman Old Style" w:eastAsia="Calibri" w:hAnsi="Bookman Old Style"/>
          <w:sz w:val="27"/>
          <w:szCs w:val="27"/>
          <w:lang w:val="es-ES" w:eastAsia="es-ES"/>
        </w:rPr>
        <w:t>Cp</w:t>
      </w:r>
      <w:r w:rsidRPr="00D06CB8">
        <w:rPr>
          <w:rFonts w:ascii="Bookman Old Style" w:eastAsia="Calibri" w:hAnsi="Bookman Old Style"/>
          <w:sz w:val="27"/>
          <w:szCs w:val="27"/>
          <w:lang w:val="es-ES" w:eastAsia="es-ES"/>
        </w:rPr>
        <w:t>, modificado por el artículo 23 de la Ley 1453 de 2011 (norma aplicable por encontrarse vigente para la época de los hechos), sanciona a quien, con el propósito de obtener para sí o para un tercero provecho ilícito, invada terreno o edificación ajenos. La misma disposición agrava la pena cuando el agente actúa como promotor, organizador o director de la invasión, o cuando la ocupación recae sobre terrenos ubicados en zona rural.</w:t>
      </w:r>
    </w:p>
    <w:p w14:paraId="24316F22" w14:textId="77777777" w:rsidR="00F17E7A" w:rsidRPr="00D06CB8" w:rsidRDefault="00F17E7A" w:rsidP="0056217D">
      <w:pPr>
        <w:pStyle w:val="Prrafodelista"/>
        <w:spacing w:after="0" w:line="360" w:lineRule="auto"/>
        <w:ind w:left="567"/>
        <w:jc w:val="both"/>
        <w:rPr>
          <w:rFonts w:ascii="Bookman Old Style" w:eastAsia="Calibri" w:hAnsi="Bookman Old Style"/>
          <w:sz w:val="27"/>
          <w:szCs w:val="27"/>
          <w:lang w:eastAsia="es-ES"/>
        </w:rPr>
      </w:pPr>
    </w:p>
    <w:p w14:paraId="2A2C530A" w14:textId="0E3E3F9A" w:rsidR="00520EBC" w:rsidRPr="00D06CB8" w:rsidRDefault="00520EBC" w:rsidP="0080181D">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A partir de esa descripción normativa, el comportamiento sancionado gira alrededor del verbo rector invadir, que </w:t>
      </w:r>
      <w:r w:rsidR="00AA14A7" w:rsidRPr="00D06CB8">
        <w:rPr>
          <w:rFonts w:ascii="Bookman Old Style" w:eastAsia="Calibri" w:hAnsi="Bookman Old Style"/>
          <w:sz w:val="27"/>
          <w:szCs w:val="27"/>
          <w:lang w:eastAsia="es-ES"/>
        </w:rPr>
        <w:t>toma</w:t>
      </w:r>
      <w:r w:rsidRPr="00D06CB8">
        <w:rPr>
          <w:rFonts w:ascii="Bookman Old Style" w:eastAsia="Calibri" w:hAnsi="Bookman Old Style"/>
          <w:sz w:val="27"/>
          <w:szCs w:val="27"/>
          <w:lang w:eastAsia="es-ES"/>
        </w:rPr>
        <w:t xml:space="preserve"> forma </w:t>
      </w:r>
      <w:r w:rsidR="00AA14A7" w:rsidRPr="00D06CB8">
        <w:rPr>
          <w:rFonts w:ascii="Bookman Old Style" w:eastAsia="Calibri" w:hAnsi="Bookman Old Style"/>
          <w:sz w:val="27"/>
          <w:szCs w:val="27"/>
          <w:lang w:eastAsia="es-ES"/>
        </w:rPr>
        <w:t>e</w:t>
      </w:r>
      <w:r w:rsidRPr="00D06CB8">
        <w:rPr>
          <w:rFonts w:ascii="Bookman Old Style" w:eastAsia="Calibri" w:hAnsi="Bookman Old Style"/>
          <w:sz w:val="27"/>
          <w:szCs w:val="27"/>
          <w:lang w:eastAsia="es-ES"/>
        </w:rPr>
        <w:t>n el acto de ocupar, penetrar o irrumpir en tierras o edificaciones ajenas.</w:t>
      </w:r>
      <w:r w:rsidR="0080181D" w:rsidRPr="00D06CB8">
        <w:rPr>
          <w:rFonts w:ascii="Bookman Old Style" w:eastAsia="Calibri" w:hAnsi="Bookman Old Style"/>
          <w:sz w:val="27"/>
          <w:szCs w:val="27"/>
          <w:lang w:eastAsia="es-ES"/>
        </w:rPr>
        <w:t xml:space="preserve"> </w:t>
      </w:r>
      <w:r w:rsidRPr="00D06CB8">
        <w:rPr>
          <w:rFonts w:ascii="Bookman Old Style" w:eastAsia="Calibri" w:hAnsi="Bookman Old Style"/>
          <w:sz w:val="27"/>
          <w:szCs w:val="27"/>
          <w:lang w:eastAsia="es-ES"/>
        </w:rPr>
        <w:t>La jurisprudencia de la Sala de Casación Penal</w:t>
      </w:r>
      <w:r w:rsidRPr="00D06CB8">
        <w:rPr>
          <w:rStyle w:val="Refdenotaalpie"/>
          <w:rFonts w:ascii="Bookman Old Style" w:eastAsia="Calibri" w:hAnsi="Bookman Old Style"/>
          <w:sz w:val="27"/>
          <w:szCs w:val="27"/>
          <w:lang w:eastAsia="es-ES"/>
        </w:rPr>
        <w:footnoteReference w:id="11"/>
      </w:r>
      <w:r w:rsidRPr="00D06CB8">
        <w:rPr>
          <w:rFonts w:ascii="Bookman Old Style" w:eastAsia="Calibri" w:hAnsi="Bookman Old Style"/>
          <w:sz w:val="27"/>
          <w:szCs w:val="27"/>
          <w:lang w:eastAsia="es-ES"/>
        </w:rPr>
        <w:t xml:space="preserve"> ha precisado que la configuración </w:t>
      </w:r>
      <w:r w:rsidRPr="00D06CB8">
        <w:rPr>
          <w:rFonts w:ascii="Bookman Old Style" w:eastAsia="Calibri" w:hAnsi="Bookman Old Style"/>
          <w:sz w:val="27"/>
          <w:szCs w:val="27"/>
          <w:lang w:eastAsia="es-ES"/>
        </w:rPr>
        <w:lastRenderedPageBreak/>
        <w:t xml:space="preserve">típica exige </w:t>
      </w:r>
      <w:r w:rsidR="00992968" w:rsidRPr="00D06CB8">
        <w:rPr>
          <w:rFonts w:ascii="Bookman Old Style" w:eastAsia="Calibri" w:hAnsi="Bookman Old Style"/>
          <w:sz w:val="27"/>
          <w:szCs w:val="27"/>
          <w:lang w:eastAsia="es-ES"/>
        </w:rPr>
        <w:t xml:space="preserve">probar </w:t>
      </w:r>
      <w:r w:rsidRPr="00D06CB8">
        <w:rPr>
          <w:rFonts w:ascii="Bookman Old Style" w:eastAsia="Calibri" w:hAnsi="Bookman Old Style"/>
          <w:sz w:val="27"/>
          <w:szCs w:val="27"/>
          <w:lang w:eastAsia="es-ES"/>
        </w:rPr>
        <w:t>que la acción invasora ocurrió de forma fraudulenta, clandestina, arbitraria o violenta.</w:t>
      </w:r>
    </w:p>
    <w:p w14:paraId="054F5C64" w14:textId="77777777" w:rsidR="00520EBC" w:rsidRPr="00D06CB8" w:rsidRDefault="00520EBC" w:rsidP="0056217D">
      <w:pPr>
        <w:spacing w:after="0" w:line="360" w:lineRule="auto"/>
        <w:jc w:val="both"/>
        <w:rPr>
          <w:rFonts w:ascii="Bookman Old Style" w:eastAsia="Calibri" w:hAnsi="Bookman Old Style"/>
          <w:sz w:val="27"/>
          <w:szCs w:val="27"/>
          <w:lang w:eastAsia="es-ES"/>
        </w:rPr>
      </w:pPr>
    </w:p>
    <w:p w14:paraId="017A5F5C" w14:textId="6A25AD1F" w:rsidR="00520EBC" w:rsidRPr="00D06CB8" w:rsidRDefault="00520EBC" w:rsidP="00145A97">
      <w:pPr>
        <w:spacing w:after="0" w:line="360" w:lineRule="auto"/>
        <w:ind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La modalidad fraudulenta comprende la intrusión lograda mediante engaños, mentiras o maniobras timadoras. El carácter clandestino alude al ingreso soterrado y encubierto del agente para asentarse o aprovecharse del terreno, o de una fracción de él, sin que el dueño o la comunidad advierta</w:t>
      </w:r>
      <w:r w:rsidR="00AA14A7" w:rsidRPr="00D06CB8">
        <w:rPr>
          <w:rFonts w:ascii="Bookman Old Style" w:eastAsia="Calibri" w:hAnsi="Bookman Old Style"/>
          <w:sz w:val="27"/>
          <w:szCs w:val="27"/>
          <w:lang w:eastAsia="es-ES"/>
        </w:rPr>
        <w:t>n</w:t>
      </w:r>
      <w:r w:rsidRPr="00D06CB8">
        <w:rPr>
          <w:rFonts w:ascii="Bookman Old Style" w:eastAsia="Calibri" w:hAnsi="Bookman Old Style"/>
          <w:sz w:val="27"/>
          <w:szCs w:val="27"/>
          <w:lang w:eastAsia="es-ES"/>
        </w:rPr>
        <w:t xml:space="preserve"> su presencia. </w:t>
      </w:r>
      <w:r w:rsidR="00225ED1" w:rsidRPr="00D06CB8">
        <w:rPr>
          <w:rFonts w:ascii="Bookman Old Style" w:eastAsia="Calibri" w:hAnsi="Bookman Old Style"/>
          <w:sz w:val="27"/>
          <w:szCs w:val="27"/>
          <w:lang w:eastAsia="es-ES"/>
        </w:rPr>
        <w:t xml:space="preserve">La invasión también puede asumir un carácter arbitrario, esto es, responder al mero querer o capricho del invasor, sin consentimiento expreso ni tácito del dueño. </w:t>
      </w:r>
      <w:r w:rsidRPr="00D06CB8">
        <w:rPr>
          <w:rFonts w:ascii="Bookman Old Style" w:eastAsia="Calibri" w:hAnsi="Bookman Old Style"/>
          <w:sz w:val="27"/>
          <w:szCs w:val="27"/>
          <w:lang w:eastAsia="es-ES"/>
        </w:rPr>
        <w:t xml:space="preserve">La modalidad violenta aparece cuando el autor despliega una fuerza agresiva e impetuosa sobre los dispositivos o sistemas de seguridad del predio, o cuando vence la oposición de los legítimos moradores para asumir el control del bien. </w:t>
      </w:r>
    </w:p>
    <w:p w14:paraId="6FE8D7CD" w14:textId="77777777" w:rsidR="00520EBC" w:rsidRPr="00D06CB8" w:rsidRDefault="00520EBC" w:rsidP="0056217D">
      <w:pPr>
        <w:spacing w:after="0" w:line="360" w:lineRule="auto"/>
        <w:jc w:val="both"/>
        <w:rPr>
          <w:rFonts w:ascii="Bookman Old Style" w:eastAsia="Calibri" w:hAnsi="Bookman Old Style"/>
          <w:sz w:val="27"/>
          <w:szCs w:val="27"/>
          <w:lang w:eastAsia="es-ES"/>
        </w:rPr>
      </w:pPr>
    </w:p>
    <w:p w14:paraId="24E185A7" w14:textId="3AD1F51A" w:rsidR="00520EBC" w:rsidRPr="00D06CB8" w:rsidRDefault="00520EBC" w:rsidP="0056217D">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El sujeto pasivo corresponde al propietario, al legítimo poseedor o al tenedor del inmueble o bien raíz, urbano o rural. De ahí surge una consecuencia central: la cosa sobre la cual recae el acto invasor, como objeto material de la conducta, debe resultar ajena al sujeto activo. Aunque este último </w:t>
      </w:r>
      <w:r w:rsidR="00992968" w:rsidRPr="00D06CB8">
        <w:rPr>
          <w:rFonts w:ascii="Bookman Old Style" w:eastAsia="Calibri" w:hAnsi="Bookman Old Style"/>
          <w:sz w:val="27"/>
          <w:szCs w:val="27"/>
          <w:lang w:eastAsia="es-ES"/>
        </w:rPr>
        <w:t xml:space="preserve">es </w:t>
      </w:r>
      <w:r w:rsidRPr="00D06CB8">
        <w:rPr>
          <w:rFonts w:ascii="Bookman Old Style" w:eastAsia="Calibri" w:hAnsi="Bookman Old Style"/>
          <w:sz w:val="27"/>
          <w:szCs w:val="27"/>
          <w:lang w:eastAsia="es-ES"/>
        </w:rPr>
        <w:t>indeterminad</w:t>
      </w:r>
      <w:r w:rsidR="00992968" w:rsidRPr="00D06CB8">
        <w:rPr>
          <w:rFonts w:ascii="Bookman Old Style" w:eastAsia="Calibri" w:hAnsi="Bookman Old Style"/>
          <w:sz w:val="27"/>
          <w:szCs w:val="27"/>
          <w:lang w:eastAsia="es-ES"/>
        </w:rPr>
        <w:t>o</w:t>
      </w:r>
      <w:r w:rsidRPr="00D06CB8">
        <w:rPr>
          <w:rFonts w:ascii="Bookman Old Style" w:eastAsia="Calibri" w:hAnsi="Bookman Old Style"/>
          <w:sz w:val="27"/>
          <w:szCs w:val="27"/>
          <w:lang w:eastAsia="es-ES"/>
        </w:rPr>
        <w:t>, la tipicidad exige que no ostente derecho alguno sobre el bien ocupado</w:t>
      </w:r>
      <w:r w:rsidRPr="00D06CB8">
        <w:rPr>
          <w:rStyle w:val="Refdenotaalpie"/>
          <w:rFonts w:ascii="Bookman Old Style" w:eastAsia="Calibri" w:hAnsi="Bookman Old Style"/>
          <w:sz w:val="27"/>
          <w:szCs w:val="27"/>
          <w:lang w:eastAsia="es-ES"/>
        </w:rPr>
        <w:footnoteReference w:id="12"/>
      </w:r>
      <w:r w:rsidRPr="00D06CB8">
        <w:rPr>
          <w:rFonts w:ascii="Bookman Old Style" w:eastAsia="Calibri" w:hAnsi="Bookman Old Style"/>
          <w:sz w:val="27"/>
          <w:szCs w:val="27"/>
          <w:lang w:eastAsia="es-ES"/>
        </w:rPr>
        <w:t xml:space="preserve">. </w:t>
      </w:r>
    </w:p>
    <w:p w14:paraId="0901397B" w14:textId="77777777" w:rsidR="00520EBC" w:rsidRPr="00D06CB8" w:rsidRDefault="00520EBC" w:rsidP="0056217D">
      <w:pPr>
        <w:pStyle w:val="Prrafodelista"/>
        <w:spacing w:after="0" w:line="360" w:lineRule="auto"/>
        <w:ind w:left="0" w:firstLine="567"/>
        <w:jc w:val="both"/>
        <w:rPr>
          <w:rFonts w:ascii="Bookman Old Style" w:eastAsia="Calibri" w:hAnsi="Bookman Old Style"/>
          <w:sz w:val="27"/>
          <w:szCs w:val="27"/>
          <w:lang w:eastAsia="es-ES"/>
        </w:rPr>
      </w:pPr>
    </w:p>
    <w:p w14:paraId="413235C7" w14:textId="5B8E0F9F" w:rsidR="00520EBC" w:rsidRPr="00D06CB8" w:rsidRDefault="00520EBC" w:rsidP="0056217D">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El tipo objetivo incorpora, además, un ingrediente subjetivo especial, pues el autor debe actuar con el ánimo de obtener para sí o para un tercero un provecho ilícito. Ese elemento elimina la posibilidad de aplicarlo para sancionar a </w:t>
      </w:r>
      <w:r w:rsidRPr="00D06CB8">
        <w:rPr>
          <w:rFonts w:ascii="Bookman Old Style" w:eastAsia="Calibri" w:hAnsi="Bookman Old Style"/>
          <w:sz w:val="27"/>
          <w:szCs w:val="27"/>
          <w:lang w:eastAsia="es-ES"/>
        </w:rPr>
        <w:lastRenderedPageBreak/>
        <w:t>quien obra de buena fe</w:t>
      </w:r>
      <w:r w:rsidRPr="00D06CB8">
        <w:rPr>
          <w:rStyle w:val="Refdenotaalpie"/>
          <w:rFonts w:ascii="Bookman Old Style" w:eastAsia="Calibri" w:hAnsi="Bookman Old Style"/>
          <w:sz w:val="27"/>
          <w:szCs w:val="27"/>
          <w:lang w:eastAsia="es-ES"/>
        </w:rPr>
        <w:footnoteReference w:id="13"/>
      </w:r>
      <w:r w:rsidRPr="00D06CB8">
        <w:rPr>
          <w:rFonts w:ascii="Bookman Old Style" w:eastAsia="Calibri" w:hAnsi="Bookman Old Style"/>
          <w:sz w:val="27"/>
          <w:szCs w:val="27"/>
          <w:lang w:eastAsia="es-ES"/>
        </w:rPr>
        <w:t>. A su vez, esa finalidad no exige la apropiación total o parcial del bien, pues también puede materializarse, por ejemplo, en una intrusión temporal o parcial encaminada a permanecer allí durante cierto tiempo o a explotar el inmueble</w:t>
      </w:r>
      <w:r w:rsidRPr="00D06CB8">
        <w:rPr>
          <w:rStyle w:val="Refdenotaalpie"/>
          <w:rFonts w:ascii="Bookman Old Style" w:eastAsia="Calibri" w:hAnsi="Bookman Old Style"/>
          <w:sz w:val="27"/>
          <w:szCs w:val="27"/>
          <w:lang w:eastAsia="es-ES"/>
        </w:rPr>
        <w:footnoteReference w:id="14"/>
      </w:r>
      <w:r w:rsidRPr="00D06CB8">
        <w:rPr>
          <w:rFonts w:ascii="Bookman Old Style" w:eastAsia="Calibri" w:hAnsi="Bookman Old Style"/>
          <w:sz w:val="27"/>
          <w:szCs w:val="27"/>
          <w:lang w:eastAsia="es-ES"/>
        </w:rPr>
        <w:t>.</w:t>
      </w:r>
    </w:p>
    <w:p w14:paraId="642552B4" w14:textId="77777777" w:rsidR="00520EBC" w:rsidRPr="00D06CB8" w:rsidRDefault="00520EBC" w:rsidP="0056217D">
      <w:pPr>
        <w:spacing w:after="0" w:line="360" w:lineRule="auto"/>
        <w:ind w:firstLine="567"/>
        <w:jc w:val="both"/>
        <w:rPr>
          <w:rFonts w:ascii="Bookman Old Style" w:eastAsia="Calibri" w:hAnsi="Bookman Old Style"/>
          <w:sz w:val="27"/>
          <w:szCs w:val="27"/>
          <w:lang w:eastAsia="es-ES"/>
        </w:rPr>
      </w:pPr>
    </w:p>
    <w:p w14:paraId="3E45E2A4" w14:textId="686120C4" w:rsidR="00520EBC" w:rsidRPr="00D06CB8" w:rsidRDefault="00520EBC" w:rsidP="0056217D">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Aunque la conducta alcanza su consumación con los actos que concretan la ocupación ilegítima, el delito conserva </w:t>
      </w:r>
      <w:r w:rsidR="00225ED1" w:rsidRPr="00D06CB8">
        <w:rPr>
          <w:rFonts w:ascii="Bookman Old Style" w:eastAsia="Calibri" w:hAnsi="Bookman Old Style"/>
          <w:sz w:val="27"/>
          <w:szCs w:val="27"/>
          <w:lang w:eastAsia="es-ES"/>
        </w:rPr>
        <w:t xml:space="preserve">su </w:t>
      </w:r>
      <w:r w:rsidR="00C031C0" w:rsidRPr="00D06CB8">
        <w:rPr>
          <w:rFonts w:ascii="Bookman Old Style" w:eastAsia="Calibri" w:hAnsi="Bookman Old Style"/>
          <w:sz w:val="27"/>
          <w:szCs w:val="27"/>
          <w:lang w:eastAsia="es-ES"/>
        </w:rPr>
        <w:t xml:space="preserve">índole </w:t>
      </w:r>
      <w:r w:rsidRPr="00D06CB8">
        <w:rPr>
          <w:rFonts w:ascii="Bookman Old Style" w:eastAsia="Calibri" w:hAnsi="Bookman Old Style"/>
          <w:sz w:val="27"/>
          <w:szCs w:val="27"/>
          <w:lang w:eastAsia="es-ES"/>
        </w:rPr>
        <w:t>permanente durante todo el tiempo en que perdura la posesión arbitraria, fraudulenta, clandestina o violenta del inmueble por parte del sujeto activo.</w:t>
      </w:r>
    </w:p>
    <w:p w14:paraId="1A149522" w14:textId="77777777" w:rsidR="00520EBC" w:rsidRPr="00D06CB8" w:rsidRDefault="00520EBC" w:rsidP="0056217D">
      <w:pPr>
        <w:spacing w:after="0" w:line="360" w:lineRule="auto"/>
        <w:ind w:firstLine="567"/>
        <w:jc w:val="both"/>
        <w:rPr>
          <w:rFonts w:ascii="Bookman Old Style" w:eastAsia="Calibri" w:hAnsi="Bookman Old Style"/>
          <w:sz w:val="27"/>
          <w:szCs w:val="27"/>
          <w:lang w:eastAsia="es-ES"/>
        </w:rPr>
      </w:pPr>
    </w:p>
    <w:p w14:paraId="22A9EDE1" w14:textId="1D66C046" w:rsidR="00520EBC" w:rsidRPr="00D06CB8" w:rsidRDefault="00520EBC"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 El modelo legal describe, en principio, un comportamiento monosubjetivo. Sin embargo, la realidad fenomenológica puede mostrar la intervención concurrente de varias personas. Por esa razón, el precepto agrava la pena del promotor, organizador o director de la invasión, hipótesis que no cabe predicar cuando el agente obra en solitario.</w:t>
      </w:r>
      <w:r w:rsidR="007D4AB3" w:rsidRPr="00D06CB8">
        <w:rPr>
          <w:rFonts w:ascii="Bookman Old Style" w:eastAsia="Calibri" w:hAnsi="Bookman Old Style"/>
          <w:sz w:val="27"/>
          <w:szCs w:val="27"/>
          <w:lang w:val="es-ES" w:eastAsia="es-ES"/>
        </w:rPr>
        <w:t xml:space="preserve"> Igualmente</w:t>
      </w:r>
      <w:r w:rsidR="002540BE" w:rsidRPr="00D06CB8">
        <w:rPr>
          <w:rFonts w:ascii="Bookman Old Style" w:eastAsia="Calibri" w:hAnsi="Bookman Old Style"/>
          <w:sz w:val="27"/>
          <w:szCs w:val="27"/>
          <w:lang w:val="es-ES" w:eastAsia="es-ES"/>
        </w:rPr>
        <w:t>,</w:t>
      </w:r>
      <w:r w:rsidR="007D4AB3" w:rsidRPr="00D06CB8">
        <w:rPr>
          <w:rFonts w:ascii="Bookman Old Style" w:eastAsia="Calibri" w:hAnsi="Bookman Old Style"/>
          <w:sz w:val="27"/>
          <w:szCs w:val="27"/>
          <w:lang w:val="es-ES" w:eastAsia="es-ES"/>
        </w:rPr>
        <w:t xml:space="preserve"> agrava la conducta cuando recae sobre un bien rural</w:t>
      </w:r>
      <w:r w:rsidR="002540BE" w:rsidRPr="00D06CB8">
        <w:rPr>
          <w:rFonts w:ascii="Bookman Old Style" w:eastAsia="Calibri" w:hAnsi="Bookman Old Style"/>
          <w:sz w:val="27"/>
          <w:szCs w:val="27"/>
          <w:lang w:val="es-ES" w:eastAsia="es-ES"/>
        </w:rPr>
        <w:t>, ello por cuanto ese ataque compromete bienes de especial relevancia económica y social, por la producción agraria y la estabilidad del campo</w:t>
      </w:r>
      <w:r w:rsidR="002540BE" w:rsidRPr="00D06CB8">
        <w:rPr>
          <w:rStyle w:val="Refdenotaalpie"/>
          <w:rFonts w:ascii="Bookman Old Style" w:eastAsia="Calibri" w:hAnsi="Bookman Old Style"/>
          <w:sz w:val="27"/>
          <w:szCs w:val="27"/>
          <w:lang w:val="es-ES" w:eastAsia="es-ES"/>
        </w:rPr>
        <w:footnoteReference w:id="15"/>
      </w:r>
      <w:r w:rsidR="002540BE" w:rsidRPr="00D06CB8">
        <w:rPr>
          <w:rFonts w:ascii="Bookman Old Style" w:eastAsia="Calibri" w:hAnsi="Bookman Old Style"/>
          <w:sz w:val="27"/>
          <w:szCs w:val="27"/>
          <w:lang w:val="es-ES" w:eastAsia="es-ES"/>
        </w:rPr>
        <w:t>.</w:t>
      </w:r>
    </w:p>
    <w:p w14:paraId="6C1790E0" w14:textId="77777777" w:rsidR="00520EBC" w:rsidRPr="00D06CB8" w:rsidRDefault="00520EBC" w:rsidP="0056217D">
      <w:pPr>
        <w:spacing w:after="0" w:line="360" w:lineRule="auto"/>
        <w:ind w:firstLine="567"/>
        <w:jc w:val="both"/>
        <w:rPr>
          <w:rFonts w:ascii="Bookman Old Style" w:eastAsia="Calibri" w:hAnsi="Bookman Old Style"/>
          <w:sz w:val="27"/>
          <w:szCs w:val="27"/>
          <w:lang w:eastAsia="es-ES"/>
        </w:rPr>
      </w:pPr>
    </w:p>
    <w:p w14:paraId="5F1DCDCB" w14:textId="7076C85B" w:rsidR="00520EBC" w:rsidRPr="00D06CB8" w:rsidRDefault="00520EBC" w:rsidP="0056217D">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El autor debe actuar con </w:t>
      </w:r>
      <w:r w:rsidR="00145A97" w:rsidRPr="00D06CB8">
        <w:rPr>
          <w:rFonts w:ascii="Bookman Old Style" w:eastAsia="Calibri" w:hAnsi="Bookman Old Style"/>
          <w:sz w:val="27"/>
          <w:szCs w:val="27"/>
          <w:lang w:eastAsia="es-ES"/>
        </w:rPr>
        <w:t xml:space="preserve">dolo </w:t>
      </w:r>
      <w:r w:rsidRPr="00D06CB8">
        <w:rPr>
          <w:rFonts w:ascii="Bookman Old Style" w:eastAsia="Calibri" w:hAnsi="Bookman Old Style"/>
          <w:sz w:val="27"/>
          <w:szCs w:val="27"/>
          <w:lang w:eastAsia="es-ES"/>
        </w:rPr>
        <w:t xml:space="preserve">en los términos del artículo 22 Cp. Ese componente subjetivo abarca la conciencia </w:t>
      </w:r>
      <w:r w:rsidRPr="00D06CB8">
        <w:rPr>
          <w:rFonts w:ascii="Bookman Old Style" w:eastAsia="Calibri" w:hAnsi="Bookman Old Style"/>
          <w:sz w:val="27"/>
          <w:szCs w:val="27"/>
          <w:lang w:eastAsia="es-ES"/>
        </w:rPr>
        <w:lastRenderedPageBreak/>
        <w:t xml:space="preserve">sobre la ajenidad del bien y la decisión de ocuparlo o </w:t>
      </w:r>
      <w:r w:rsidR="00AA14A7" w:rsidRPr="00D06CB8">
        <w:rPr>
          <w:rFonts w:ascii="Bookman Old Style" w:eastAsia="Calibri" w:hAnsi="Bookman Old Style"/>
          <w:sz w:val="27"/>
          <w:szCs w:val="27"/>
          <w:lang w:eastAsia="es-ES"/>
        </w:rPr>
        <w:t>irrumpir</w:t>
      </w:r>
      <w:r w:rsidRPr="00D06CB8">
        <w:rPr>
          <w:rFonts w:ascii="Bookman Old Style" w:eastAsia="Calibri" w:hAnsi="Bookman Old Style"/>
          <w:sz w:val="27"/>
          <w:szCs w:val="27"/>
          <w:lang w:eastAsia="es-ES"/>
        </w:rPr>
        <w:t xml:space="preserve"> para obtener el provecho ilícito que exige la descripción típica.</w:t>
      </w:r>
    </w:p>
    <w:p w14:paraId="156CDEA8" w14:textId="77777777" w:rsidR="00520EBC" w:rsidRPr="00D06CB8" w:rsidRDefault="00520EBC" w:rsidP="0056217D">
      <w:pPr>
        <w:spacing w:after="0" w:line="360" w:lineRule="auto"/>
        <w:ind w:firstLine="567"/>
        <w:jc w:val="both"/>
        <w:rPr>
          <w:rFonts w:ascii="Bookman Old Style" w:eastAsia="Calibri" w:hAnsi="Bookman Old Style"/>
          <w:sz w:val="27"/>
          <w:szCs w:val="27"/>
          <w:lang w:eastAsia="es-ES"/>
        </w:rPr>
      </w:pPr>
    </w:p>
    <w:p w14:paraId="1911BE53" w14:textId="785E50F1" w:rsidR="00520EBC" w:rsidRPr="00D06CB8" w:rsidRDefault="00520EBC" w:rsidP="0056217D">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Finalmente, la conducta exige querella para el inicio de la acción penal. En consecuencia, solo el sujeto pasivo del delito (esto es, el propietario, el poseedor o el tenedor del inmueble) puede poner en movimiento la jurisdicción penal mediante la correspondiente denuncia.</w:t>
      </w:r>
    </w:p>
    <w:p w14:paraId="238A6485" w14:textId="63835AF8"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p>
    <w:p w14:paraId="50E1C9FA" w14:textId="4AE9A4A4" w:rsidR="00520EBC" w:rsidRPr="00D06CB8" w:rsidRDefault="00F17E7A" w:rsidP="0056217D">
      <w:pPr>
        <w:spacing w:after="0" w:line="360" w:lineRule="auto"/>
        <w:ind w:firstLine="567"/>
        <w:contextualSpacing/>
        <w:jc w:val="both"/>
        <w:rPr>
          <w:rFonts w:ascii="Bookman Old Style" w:eastAsia="Calibri" w:hAnsi="Bookman Old Style"/>
          <w:b/>
          <w:bCs/>
          <w:sz w:val="27"/>
          <w:szCs w:val="27"/>
          <w:lang w:eastAsia="es-ES"/>
        </w:rPr>
      </w:pPr>
      <w:r w:rsidRPr="00D06CB8">
        <w:rPr>
          <w:rFonts w:ascii="Bookman Old Style" w:eastAsia="Calibri" w:hAnsi="Bookman Old Style"/>
          <w:b/>
          <w:bCs/>
          <w:sz w:val="27"/>
          <w:szCs w:val="27"/>
          <w:lang w:eastAsia="es-ES"/>
        </w:rPr>
        <w:t>G</w:t>
      </w:r>
      <w:r w:rsidR="00225ED1" w:rsidRPr="00D06CB8">
        <w:rPr>
          <w:rFonts w:ascii="Bookman Old Style" w:eastAsia="Calibri" w:hAnsi="Bookman Old Style"/>
          <w:b/>
          <w:bCs/>
          <w:sz w:val="27"/>
          <w:szCs w:val="27"/>
          <w:lang w:eastAsia="es-ES"/>
        </w:rPr>
        <w:t>. Sobre el e</w:t>
      </w:r>
      <w:r w:rsidR="00520EBC" w:rsidRPr="00D06CB8">
        <w:rPr>
          <w:rFonts w:ascii="Bookman Old Style" w:eastAsia="Calibri" w:hAnsi="Bookman Old Style"/>
          <w:b/>
          <w:bCs/>
          <w:sz w:val="27"/>
          <w:szCs w:val="27"/>
          <w:lang w:eastAsia="es-ES"/>
        </w:rPr>
        <w:t>rror de tipo</w:t>
      </w:r>
    </w:p>
    <w:p w14:paraId="7025EFD4" w14:textId="77777777" w:rsidR="00225ED1" w:rsidRPr="00D06CB8" w:rsidRDefault="00225ED1" w:rsidP="0056217D">
      <w:pPr>
        <w:spacing w:after="0" w:line="360" w:lineRule="auto"/>
        <w:ind w:firstLine="567"/>
        <w:contextualSpacing/>
        <w:jc w:val="both"/>
        <w:rPr>
          <w:rFonts w:ascii="Bookman Old Style" w:eastAsia="Calibri" w:hAnsi="Bookman Old Style"/>
          <w:sz w:val="27"/>
          <w:szCs w:val="27"/>
          <w:lang w:eastAsia="es-ES"/>
        </w:rPr>
      </w:pPr>
    </w:p>
    <w:p w14:paraId="3CC9715A" w14:textId="523BBA88" w:rsidR="00225ED1" w:rsidRPr="00D06CB8" w:rsidRDefault="00145A97"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El artículo 22 Cp dispone que hay dolo cuando el autor conoce los hechos constitutivos de la infracción y quiere realizarlos. Por eso, el dolo exige dos elementos: conocimiento de los elementos objetivos del tipo y voluntad de ejecutarlos</w:t>
      </w:r>
      <w:r w:rsidR="00225ED1" w:rsidRPr="00D06CB8">
        <w:rPr>
          <w:rStyle w:val="Refdenotaalpie"/>
          <w:rFonts w:ascii="Bookman Old Style" w:eastAsia="Calibri" w:hAnsi="Bookman Old Style"/>
          <w:sz w:val="27"/>
          <w:szCs w:val="27"/>
          <w:lang w:val="es-ES" w:eastAsia="es-ES"/>
        </w:rPr>
        <w:footnoteReference w:id="16"/>
      </w:r>
      <w:r w:rsidR="00225ED1" w:rsidRPr="00D06CB8">
        <w:rPr>
          <w:rFonts w:ascii="Bookman Old Style" w:eastAsia="Calibri" w:hAnsi="Bookman Old Style"/>
          <w:sz w:val="27"/>
          <w:szCs w:val="27"/>
          <w:lang w:val="es-ES" w:eastAsia="es-ES"/>
        </w:rPr>
        <w:t>.</w:t>
      </w:r>
      <w:r w:rsidR="00225ED1" w:rsidRPr="00D06CB8">
        <w:rPr>
          <w:rFonts w:ascii="Bookman Old Style" w:hAnsi="Bookman Old Style"/>
          <w:sz w:val="27"/>
          <w:szCs w:val="27"/>
          <w:lang w:val="es-ES"/>
        </w:rPr>
        <w:t xml:space="preserve"> </w:t>
      </w:r>
    </w:p>
    <w:p w14:paraId="1E3E2E3F" w14:textId="77777777" w:rsidR="00225ED1" w:rsidRPr="00D06CB8" w:rsidRDefault="00225ED1" w:rsidP="0056217D">
      <w:pPr>
        <w:pStyle w:val="Prrafodelista"/>
        <w:spacing w:after="0" w:line="360" w:lineRule="auto"/>
        <w:ind w:left="567"/>
        <w:jc w:val="both"/>
        <w:rPr>
          <w:rFonts w:ascii="Bookman Old Style" w:eastAsia="Calibri" w:hAnsi="Bookman Old Style"/>
          <w:sz w:val="27"/>
          <w:szCs w:val="27"/>
          <w:lang w:eastAsia="es-ES"/>
        </w:rPr>
      </w:pPr>
    </w:p>
    <w:p w14:paraId="30779A29" w14:textId="4B607742" w:rsidR="00225ED1" w:rsidRPr="00D06CB8" w:rsidRDefault="00225ED1"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El error adquiere relevancia penal cuando afecta ese componente cognoscitivo. Si el autor obra bajo una representación equivocada de la realidad, el juez debe establecer si ese yerro recayó sobre alguno de los </w:t>
      </w:r>
      <w:r w:rsidR="002540BE" w:rsidRPr="00D06CB8">
        <w:rPr>
          <w:rFonts w:ascii="Bookman Old Style" w:eastAsia="Calibri" w:hAnsi="Bookman Old Style"/>
          <w:sz w:val="27"/>
          <w:szCs w:val="27"/>
          <w:lang w:val="es-ES" w:eastAsia="es-ES"/>
        </w:rPr>
        <w:t xml:space="preserve">supuestos </w:t>
      </w:r>
      <w:r w:rsidRPr="00D06CB8">
        <w:rPr>
          <w:rFonts w:ascii="Bookman Old Style" w:eastAsia="Calibri" w:hAnsi="Bookman Old Style"/>
          <w:sz w:val="27"/>
          <w:szCs w:val="27"/>
          <w:lang w:val="es-ES" w:eastAsia="es-ES"/>
        </w:rPr>
        <w:t>que la norma penal exige para afirmar la tipicidad dolosa. Cuando ello ocurre, el error incide de manera directa en el dolo, porque impide atribuir al agente el conocimiento pleno de los elementos del tipo. El problema, entonces, no radica en cualquier equivocación, sino en aquella que altera la comprensión del supuesto de hecho descrito por la ley.</w:t>
      </w:r>
    </w:p>
    <w:p w14:paraId="7761DA8D" w14:textId="77777777" w:rsidR="00225ED1" w:rsidRPr="00D06CB8" w:rsidRDefault="00225ED1" w:rsidP="0056217D">
      <w:pPr>
        <w:pStyle w:val="Prrafodelista"/>
        <w:spacing w:after="0" w:line="360" w:lineRule="auto"/>
        <w:rPr>
          <w:rFonts w:ascii="Bookman Old Style" w:eastAsia="Calibri" w:hAnsi="Bookman Old Style"/>
          <w:sz w:val="27"/>
          <w:szCs w:val="27"/>
          <w:lang w:eastAsia="es-ES"/>
        </w:rPr>
      </w:pPr>
    </w:p>
    <w:p w14:paraId="4B42C17D" w14:textId="431EF836" w:rsidR="00225ED1" w:rsidRPr="00D06CB8" w:rsidRDefault="00225ED1" w:rsidP="0056217D">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En ese marco aparece el error de tipo. Esta figura alude al desconocimiento o al conocimiento equivocado de las </w:t>
      </w:r>
      <w:r w:rsidRPr="00D06CB8">
        <w:rPr>
          <w:rFonts w:ascii="Bookman Old Style" w:eastAsia="Calibri" w:hAnsi="Bookman Old Style"/>
          <w:sz w:val="27"/>
          <w:szCs w:val="27"/>
          <w:lang w:eastAsia="es-ES"/>
        </w:rPr>
        <w:lastRenderedPageBreak/>
        <w:t>circunstancias objetivas que pertenecen al tipo legal. La equivocación puede recaer sobre elementos fácticos, descriptivos o normativos. En todos esos supuestos, el punto decisivo consiste en determinar si el autor actuó bajo la convicción errada de que en su conducta no concurría uno de los elementos que la ley penal exigía</w:t>
      </w:r>
      <w:r w:rsidRPr="00D06CB8">
        <w:rPr>
          <w:rStyle w:val="Refdenotaalpie"/>
          <w:rFonts w:ascii="Bookman Old Style" w:eastAsia="Calibri" w:hAnsi="Bookman Old Style"/>
          <w:sz w:val="27"/>
          <w:szCs w:val="27"/>
          <w:lang w:eastAsia="es-ES"/>
        </w:rPr>
        <w:footnoteReference w:id="17"/>
      </w:r>
      <w:r w:rsidRPr="00D06CB8">
        <w:rPr>
          <w:rFonts w:ascii="Bookman Old Style" w:eastAsia="Calibri" w:hAnsi="Bookman Old Style"/>
          <w:sz w:val="27"/>
          <w:szCs w:val="27"/>
          <w:lang w:eastAsia="es-ES"/>
        </w:rPr>
        <w:t>.</w:t>
      </w:r>
    </w:p>
    <w:p w14:paraId="5B05C50E" w14:textId="77777777" w:rsidR="00225ED1" w:rsidRPr="00D06CB8" w:rsidRDefault="00225ED1" w:rsidP="0056217D">
      <w:pPr>
        <w:pStyle w:val="Prrafodelista"/>
        <w:spacing w:after="0" w:line="360" w:lineRule="auto"/>
        <w:rPr>
          <w:rFonts w:ascii="Bookman Old Style" w:eastAsia="Calibri" w:hAnsi="Bookman Old Style"/>
          <w:sz w:val="27"/>
          <w:szCs w:val="27"/>
          <w:lang w:eastAsia="es-ES"/>
        </w:rPr>
      </w:pPr>
    </w:p>
    <w:p w14:paraId="58FBDCAF" w14:textId="29FE9447" w:rsidR="00225ED1" w:rsidRPr="00D06CB8" w:rsidRDefault="00225ED1"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El </w:t>
      </w:r>
      <w:r w:rsidR="00145A97" w:rsidRPr="00D06CB8">
        <w:rPr>
          <w:rFonts w:ascii="Bookman Old Style" w:eastAsia="Calibri" w:hAnsi="Bookman Old Style"/>
          <w:sz w:val="27"/>
          <w:szCs w:val="27"/>
          <w:lang w:val="es-ES" w:eastAsia="es-ES"/>
        </w:rPr>
        <w:t>artículo 32.</w:t>
      </w:r>
      <w:r w:rsidRPr="00D06CB8">
        <w:rPr>
          <w:rFonts w:ascii="Bookman Old Style" w:eastAsia="Calibri" w:hAnsi="Bookman Old Style"/>
          <w:sz w:val="27"/>
          <w:szCs w:val="27"/>
          <w:lang w:val="es-ES" w:eastAsia="es-ES"/>
        </w:rPr>
        <w:t>10 Cp distingue dos hipótesis. La primera corresponde al error invencible. Esa modalidad concurre cuando el autor no p</w:t>
      </w:r>
      <w:r w:rsidR="00145A97" w:rsidRPr="00D06CB8">
        <w:rPr>
          <w:rFonts w:ascii="Bookman Old Style" w:eastAsia="Calibri" w:hAnsi="Bookman Old Style"/>
          <w:sz w:val="27"/>
          <w:szCs w:val="27"/>
          <w:lang w:val="es-ES" w:eastAsia="es-ES"/>
        </w:rPr>
        <w:t>uede</w:t>
      </w:r>
      <w:r w:rsidRPr="00D06CB8">
        <w:rPr>
          <w:rFonts w:ascii="Bookman Old Style" w:eastAsia="Calibri" w:hAnsi="Bookman Old Style"/>
          <w:sz w:val="27"/>
          <w:szCs w:val="27"/>
          <w:lang w:val="es-ES" w:eastAsia="es-ES"/>
        </w:rPr>
        <w:t xml:space="preserve"> superar la equivocación, ni siquiera con el esfuerzo racionalmente exigible según las circunstancias concretas del caso. La segunda corresponde al error vencible. Esta surge cuando el agente sí p</w:t>
      </w:r>
      <w:r w:rsidR="00145A97" w:rsidRPr="00D06CB8">
        <w:rPr>
          <w:rFonts w:ascii="Bookman Old Style" w:eastAsia="Calibri" w:hAnsi="Bookman Old Style"/>
          <w:sz w:val="27"/>
          <w:szCs w:val="27"/>
          <w:lang w:val="es-ES" w:eastAsia="es-ES"/>
        </w:rPr>
        <w:t>uede</w:t>
      </w:r>
      <w:r w:rsidRPr="00D06CB8">
        <w:rPr>
          <w:rFonts w:ascii="Bookman Old Style" w:eastAsia="Calibri" w:hAnsi="Bookman Old Style"/>
          <w:sz w:val="27"/>
          <w:szCs w:val="27"/>
          <w:lang w:val="es-ES" w:eastAsia="es-ES"/>
        </w:rPr>
        <w:t xml:space="preserve"> despejar la duda mediante una verificación seria, posible y exigible. La diferencia entre una y otra </w:t>
      </w:r>
      <w:r w:rsidR="00145A97" w:rsidRPr="00D06CB8">
        <w:rPr>
          <w:rFonts w:ascii="Bookman Old Style" w:eastAsia="Calibri" w:hAnsi="Bookman Old Style"/>
          <w:sz w:val="27"/>
          <w:szCs w:val="27"/>
          <w:lang w:val="es-ES" w:eastAsia="es-ES"/>
        </w:rPr>
        <w:t>hipótesis d</w:t>
      </w:r>
      <w:r w:rsidRPr="00D06CB8">
        <w:rPr>
          <w:rFonts w:ascii="Bookman Old Style" w:eastAsia="Calibri" w:hAnsi="Bookman Old Style"/>
          <w:sz w:val="27"/>
          <w:szCs w:val="27"/>
          <w:lang w:val="es-ES" w:eastAsia="es-ES"/>
        </w:rPr>
        <w:t>epende de las condiciones personales del autor y de las posibilidades reales de comprobación que tuvo antes de actuar</w:t>
      </w:r>
      <w:r w:rsidRPr="00D06CB8">
        <w:rPr>
          <w:rStyle w:val="Refdenotaalpie"/>
          <w:rFonts w:ascii="Bookman Old Style" w:eastAsia="Calibri" w:hAnsi="Bookman Old Style"/>
          <w:sz w:val="27"/>
          <w:szCs w:val="27"/>
          <w:lang w:val="es-ES" w:eastAsia="es-ES"/>
        </w:rPr>
        <w:footnoteReference w:id="18"/>
      </w:r>
      <w:r w:rsidRPr="00D06CB8">
        <w:rPr>
          <w:rFonts w:ascii="Bookman Old Style" w:eastAsia="Calibri" w:hAnsi="Bookman Old Style"/>
          <w:sz w:val="27"/>
          <w:szCs w:val="27"/>
          <w:lang w:val="es-ES" w:eastAsia="es-ES"/>
        </w:rPr>
        <w:t>.</w:t>
      </w:r>
    </w:p>
    <w:p w14:paraId="31ED2941" w14:textId="77777777" w:rsidR="00225ED1" w:rsidRPr="00D06CB8" w:rsidRDefault="00225ED1" w:rsidP="0056217D">
      <w:pPr>
        <w:spacing w:after="0" w:line="360" w:lineRule="auto"/>
        <w:ind w:firstLine="567"/>
        <w:contextualSpacing/>
        <w:jc w:val="both"/>
        <w:rPr>
          <w:rFonts w:ascii="Bookman Old Style" w:eastAsia="Calibri" w:hAnsi="Bookman Old Style"/>
          <w:sz w:val="27"/>
          <w:szCs w:val="27"/>
          <w:lang w:eastAsia="es-ES"/>
        </w:rPr>
      </w:pPr>
    </w:p>
    <w:p w14:paraId="724B6D57" w14:textId="683E9736" w:rsidR="00225ED1" w:rsidRPr="00D06CB8" w:rsidRDefault="00225ED1"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El error invencible excluye el dolo porque impide afirmar que el autor conoció los hechos constitutivos de la infracción. El error vencible también excluye el dolo, pero no agota por completo el juicio de reproche. En ese evento, el ordenamiento solo permite sanción cuando la ley prevé la modalidad culposa del respectivo delito. Si el tipo penal no admite culpa, el error vencible conduce igualmente a la absolución. Esa solución no obedece a la irrelevancia del hecho, </w:t>
      </w:r>
      <w:r w:rsidRPr="00D06CB8">
        <w:rPr>
          <w:rFonts w:ascii="Bookman Old Style" w:eastAsia="Calibri" w:hAnsi="Bookman Old Style"/>
          <w:sz w:val="27"/>
          <w:szCs w:val="27"/>
          <w:lang w:val="es-ES" w:eastAsia="es-ES"/>
        </w:rPr>
        <w:lastRenderedPageBreak/>
        <w:t>sino a la falta de un título de imputación compatible con la estructura legal del delito</w:t>
      </w:r>
      <w:r w:rsidRPr="00D06CB8">
        <w:rPr>
          <w:rStyle w:val="Refdenotaalpie"/>
          <w:rFonts w:ascii="Bookman Old Style" w:eastAsia="Calibri" w:hAnsi="Bookman Old Style"/>
          <w:sz w:val="27"/>
          <w:szCs w:val="27"/>
          <w:lang w:val="es-ES" w:eastAsia="es-ES"/>
        </w:rPr>
        <w:footnoteReference w:id="19"/>
      </w:r>
      <w:r w:rsidRPr="00D06CB8">
        <w:rPr>
          <w:rFonts w:ascii="Bookman Old Style" w:eastAsia="Calibri" w:hAnsi="Bookman Old Style"/>
          <w:sz w:val="27"/>
          <w:szCs w:val="27"/>
          <w:lang w:val="es-ES" w:eastAsia="es-ES"/>
        </w:rPr>
        <w:t xml:space="preserve">. </w:t>
      </w:r>
    </w:p>
    <w:p w14:paraId="0B1A4911" w14:textId="77777777" w:rsidR="00225ED1" w:rsidRPr="00D06CB8" w:rsidRDefault="00225ED1" w:rsidP="0056217D">
      <w:pPr>
        <w:spacing w:after="0" w:line="360" w:lineRule="auto"/>
        <w:contextualSpacing/>
        <w:jc w:val="both"/>
        <w:rPr>
          <w:rFonts w:ascii="Bookman Old Style" w:eastAsia="Calibri" w:hAnsi="Bookman Old Style"/>
          <w:sz w:val="27"/>
          <w:szCs w:val="27"/>
          <w:lang w:eastAsia="es-ES"/>
        </w:rPr>
      </w:pPr>
    </w:p>
    <w:p w14:paraId="0F3EF5DF" w14:textId="31057ECA" w:rsidR="00520EBC" w:rsidRPr="00D06CB8" w:rsidRDefault="00F17E7A" w:rsidP="0056217D">
      <w:pPr>
        <w:spacing w:after="0" w:line="360" w:lineRule="auto"/>
        <w:ind w:firstLine="567"/>
        <w:contextualSpacing/>
        <w:jc w:val="both"/>
        <w:rPr>
          <w:rFonts w:ascii="Bookman Old Style" w:eastAsia="Calibri" w:hAnsi="Bookman Old Style"/>
          <w:b/>
          <w:bCs/>
          <w:sz w:val="27"/>
          <w:szCs w:val="27"/>
          <w:lang w:eastAsia="es-ES"/>
        </w:rPr>
      </w:pPr>
      <w:r w:rsidRPr="00D06CB8">
        <w:rPr>
          <w:rFonts w:ascii="Bookman Old Style" w:eastAsia="Calibri" w:hAnsi="Bookman Old Style"/>
          <w:b/>
          <w:bCs/>
          <w:sz w:val="27"/>
          <w:szCs w:val="27"/>
          <w:lang w:eastAsia="es-ES"/>
        </w:rPr>
        <w:t>H</w:t>
      </w:r>
      <w:r w:rsidR="00520EBC" w:rsidRPr="00D06CB8">
        <w:rPr>
          <w:rFonts w:ascii="Bookman Old Style" w:eastAsia="Calibri" w:hAnsi="Bookman Old Style"/>
          <w:b/>
          <w:bCs/>
          <w:sz w:val="27"/>
          <w:szCs w:val="27"/>
          <w:lang w:eastAsia="es-ES"/>
        </w:rPr>
        <w:t xml:space="preserve">. Razonamiento probatorio y jurídico </w:t>
      </w:r>
    </w:p>
    <w:p w14:paraId="7D6B1E49" w14:textId="77777777" w:rsidR="00520EBC" w:rsidRPr="00D06CB8" w:rsidRDefault="00520EBC" w:rsidP="0056217D">
      <w:pPr>
        <w:spacing w:after="0" w:line="360" w:lineRule="auto"/>
        <w:ind w:firstLine="567"/>
        <w:contextualSpacing/>
        <w:jc w:val="both"/>
        <w:rPr>
          <w:rFonts w:ascii="Bookman Old Style" w:eastAsia="Calibri" w:hAnsi="Bookman Old Style"/>
          <w:b/>
          <w:bCs/>
          <w:sz w:val="27"/>
          <w:szCs w:val="27"/>
          <w:lang w:eastAsia="es-ES"/>
        </w:rPr>
      </w:pPr>
    </w:p>
    <w:p w14:paraId="74AA1F7B" w14:textId="60216AFE" w:rsidR="00B3278A" w:rsidRPr="00D06CB8" w:rsidRDefault="00520EBC" w:rsidP="0056217D">
      <w:pPr>
        <w:pStyle w:val="Prrafodelista"/>
        <w:numPr>
          <w:ilvl w:val="0"/>
          <w:numId w:val="16"/>
        </w:numPr>
        <w:spacing w:after="0" w:line="360" w:lineRule="auto"/>
        <w:jc w:val="both"/>
        <w:rPr>
          <w:rFonts w:ascii="Bookman Old Style" w:eastAsia="Calibri" w:hAnsi="Bookman Old Style"/>
          <w:b/>
          <w:bCs/>
          <w:sz w:val="27"/>
          <w:szCs w:val="27"/>
          <w:lang w:eastAsia="es-ES"/>
        </w:rPr>
      </w:pPr>
      <w:r w:rsidRPr="00D06CB8">
        <w:rPr>
          <w:rFonts w:ascii="Bookman Old Style" w:eastAsia="Calibri" w:hAnsi="Bookman Old Style"/>
          <w:b/>
          <w:bCs/>
          <w:sz w:val="27"/>
          <w:szCs w:val="27"/>
          <w:lang w:eastAsia="es-ES"/>
        </w:rPr>
        <w:t>Valoración de las pruebas de la Fiscalía</w:t>
      </w:r>
    </w:p>
    <w:p w14:paraId="1FC19297" w14:textId="77777777" w:rsidR="00F17E7A" w:rsidRPr="00D06CB8" w:rsidRDefault="00F17E7A" w:rsidP="0056217D">
      <w:pPr>
        <w:spacing w:after="0" w:line="360" w:lineRule="auto"/>
        <w:ind w:left="567"/>
        <w:jc w:val="both"/>
        <w:rPr>
          <w:rFonts w:ascii="Bookman Old Style" w:eastAsia="Calibri" w:hAnsi="Bookman Old Style"/>
          <w:sz w:val="27"/>
          <w:szCs w:val="27"/>
          <w:lang w:eastAsia="es-ES"/>
        </w:rPr>
      </w:pPr>
    </w:p>
    <w:p w14:paraId="7086241D" w14:textId="0E994D21" w:rsidR="00B3278A" w:rsidRPr="00D06CB8" w:rsidRDefault="00B3278A"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La Sala examinó los testimonios de Martha Lucía Montiel Morales, querellante y víctima; José Yesid Montiel Morales, hermano de la víctima y administrador de la finca; Juan Carlos Llanos Culma, también administrador del predio; Jhon Fredy López Mendoza, investigador de policía judicial; Julio César Rengifo Gómez, auxiliar de la justicia que rindió dictamen técnico </w:t>
      </w:r>
      <w:r w:rsidR="00012243" w:rsidRPr="00D06CB8">
        <w:rPr>
          <w:rFonts w:ascii="Bookman Old Style" w:eastAsia="Calibri" w:hAnsi="Bookman Old Style"/>
          <w:sz w:val="27"/>
          <w:szCs w:val="27"/>
          <w:lang w:val="es-ES" w:eastAsia="es-ES"/>
        </w:rPr>
        <w:t xml:space="preserve">en </w:t>
      </w:r>
      <w:r w:rsidRPr="00D06CB8">
        <w:rPr>
          <w:rFonts w:ascii="Bookman Old Style" w:eastAsia="Calibri" w:hAnsi="Bookman Old Style"/>
          <w:sz w:val="27"/>
          <w:szCs w:val="27"/>
          <w:lang w:val="es-ES" w:eastAsia="es-ES"/>
        </w:rPr>
        <w:t>el proceso policivo; y Hugo Alejandro Mora Pérez, investigador privado, así como los documentos aportados por la Fiscalía</w:t>
      </w:r>
      <w:r w:rsidRPr="00D06CB8">
        <w:rPr>
          <w:rStyle w:val="Refdenotaalpie"/>
          <w:rFonts w:ascii="Bookman Old Style" w:eastAsia="Calibri" w:hAnsi="Bookman Old Style"/>
          <w:sz w:val="27"/>
          <w:szCs w:val="27"/>
          <w:lang w:val="es-ES" w:eastAsia="es-ES"/>
        </w:rPr>
        <w:footnoteReference w:id="20"/>
      </w:r>
      <w:r w:rsidRPr="00D06CB8">
        <w:rPr>
          <w:rFonts w:ascii="Bookman Old Style" w:eastAsia="Calibri" w:hAnsi="Bookman Old Style"/>
          <w:sz w:val="27"/>
          <w:szCs w:val="27"/>
          <w:lang w:val="es-ES" w:eastAsia="es-ES"/>
        </w:rPr>
        <w:t>. A partir de ese conjunto probatorio, está en capacidad de reconstruir la siguiente secuencia fáctica:</w:t>
      </w:r>
    </w:p>
    <w:p w14:paraId="66EB2557" w14:textId="77777777" w:rsidR="00F17E7A" w:rsidRPr="00D06CB8" w:rsidRDefault="00F17E7A" w:rsidP="0056217D">
      <w:pPr>
        <w:spacing w:after="0" w:line="360" w:lineRule="auto"/>
        <w:ind w:firstLine="567"/>
        <w:jc w:val="both"/>
        <w:rPr>
          <w:rFonts w:ascii="Bookman Old Style" w:eastAsia="Calibri" w:hAnsi="Bookman Old Style"/>
          <w:sz w:val="27"/>
          <w:szCs w:val="27"/>
          <w:lang w:eastAsia="es-ES"/>
        </w:rPr>
      </w:pPr>
    </w:p>
    <w:p w14:paraId="2EAFB979" w14:textId="5EC34F0B" w:rsidR="00F17E7A" w:rsidRPr="00D06CB8" w:rsidRDefault="00F17E7A" w:rsidP="0971A8FE">
      <w:pPr>
        <w:pStyle w:val="Prrafodelista"/>
        <w:numPr>
          <w:ilvl w:val="0"/>
          <w:numId w:val="14"/>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El 29 de septiembre de 1954, Parcelaciones Cunday Ltda </w:t>
      </w:r>
      <w:r w:rsidR="007F76F1" w:rsidRPr="00D06CB8">
        <w:rPr>
          <w:rFonts w:ascii="Bookman Old Style" w:eastAsia="Calibri" w:hAnsi="Bookman Old Style"/>
          <w:sz w:val="27"/>
          <w:szCs w:val="27"/>
          <w:lang w:val="es-ES" w:eastAsia="es-ES"/>
        </w:rPr>
        <w:t xml:space="preserve">le </w:t>
      </w:r>
      <w:r w:rsidRPr="00D06CB8">
        <w:rPr>
          <w:rFonts w:ascii="Bookman Old Style" w:eastAsia="Calibri" w:hAnsi="Bookman Old Style"/>
          <w:sz w:val="27"/>
          <w:szCs w:val="27"/>
          <w:lang w:val="es-ES" w:eastAsia="es-ES"/>
        </w:rPr>
        <w:t xml:space="preserve">vendió a Nicolás Morales Gaitán el predio rural “Las Mercedes”, ubicado en la vereda Lozanía de Purificación, con una </w:t>
      </w:r>
      <w:r w:rsidR="007F76F1" w:rsidRPr="00D06CB8">
        <w:rPr>
          <w:rFonts w:ascii="Bookman Old Style" w:eastAsia="Calibri" w:hAnsi="Bookman Old Style"/>
          <w:sz w:val="27"/>
          <w:szCs w:val="27"/>
          <w:lang w:val="es-ES" w:eastAsia="es-ES"/>
        </w:rPr>
        <w:t>extensión</w:t>
      </w:r>
      <w:r w:rsidRPr="00D06CB8">
        <w:rPr>
          <w:rFonts w:ascii="Bookman Old Style" w:eastAsia="Calibri" w:hAnsi="Bookman Old Style"/>
          <w:sz w:val="27"/>
          <w:szCs w:val="27"/>
          <w:lang w:val="es-ES" w:eastAsia="es-ES"/>
        </w:rPr>
        <w:t xml:space="preserve"> aproximada de 43 hectáreas y linderos que comprendieron, entre otros puntos, la quebrada de Bajas por el norte y el río Cunday por el occidente. </w:t>
      </w:r>
    </w:p>
    <w:p w14:paraId="5E63B679" w14:textId="77777777" w:rsidR="00F17E7A" w:rsidRPr="00D06CB8" w:rsidRDefault="00F17E7A" w:rsidP="0056217D">
      <w:pPr>
        <w:pStyle w:val="Prrafodelista"/>
        <w:spacing w:after="0" w:line="360" w:lineRule="auto"/>
        <w:ind w:left="0" w:firstLine="567"/>
        <w:jc w:val="both"/>
        <w:rPr>
          <w:rFonts w:ascii="Bookman Old Style" w:eastAsia="Calibri" w:hAnsi="Bookman Old Style"/>
          <w:sz w:val="27"/>
          <w:szCs w:val="27"/>
          <w:lang w:eastAsia="es-ES"/>
        </w:rPr>
      </w:pPr>
    </w:p>
    <w:p w14:paraId="0B9FEF99" w14:textId="2A30AEE0" w:rsidR="00F17E7A" w:rsidRPr="00D06CB8" w:rsidRDefault="00F17E7A" w:rsidP="6F994DCF">
      <w:pPr>
        <w:pStyle w:val="Prrafodelista"/>
        <w:numPr>
          <w:ilvl w:val="0"/>
          <w:numId w:val="14"/>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lastRenderedPageBreak/>
        <w:t xml:space="preserve">Luego, el 20 de octubre de 2001, </w:t>
      </w:r>
      <w:r w:rsidR="00012243" w:rsidRPr="00D06CB8">
        <w:rPr>
          <w:rFonts w:ascii="Bookman Old Style" w:eastAsia="Calibri" w:hAnsi="Bookman Old Style"/>
          <w:sz w:val="27"/>
          <w:szCs w:val="27"/>
          <w:lang w:val="es-ES" w:eastAsia="es-ES"/>
        </w:rPr>
        <w:t xml:space="preserve">en </w:t>
      </w:r>
      <w:r w:rsidRPr="00D06CB8">
        <w:rPr>
          <w:rFonts w:ascii="Bookman Old Style" w:eastAsia="Calibri" w:hAnsi="Bookman Old Style"/>
          <w:sz w:val="27"/>
          <w:szCs w:val="27"/>
          <w:lang w:val="es-ES" w:eastAsia="es-ES"/>
        </w:rPr>
        <w:t xml:space="preserve">el trámite sucesoral de Nicolás Morales Gaitán, la notaría adjudicó el bien a sus herederas. Más tarde, el 25 de mayo de 2012, el Juzgado Civil del Circuito de Purificación remató el inmueble </w:t>
      </w:r>
      <w:r w:rsidR="00FC356C" w:rsidRPr="00D06CB8">
        <w:rPr>
          <w:rFonts w:ascii="Bookman Old Style" w:eastAsia="Calibri" w:hAnsi="Bookman Old Style"/>
          <w:sz w:val="27"/>
          <w:szCs w:val="27"/>
          <w:lang w:val="es-ES" w:eastAsia="es-ES"/>
        </w:rPr>
        <w:t xml:space="preserve">en </w:t>
      </w:r>
      <w:r w:rsidRPr="00D06CB8">
        <w:rPr>
          <w:rFonts w:ascii="Bookman Old Style" w:eastAsia="Calibri" w:hAnsi="Bookman Old Style"/>
          <w:sz w:val="27"/>
          <w:szCs w:val="27"/>
          <w:lang w:val="es-ES" w:eastAsia="es-ES"/>
        </w:rPr>
        <w:t>el proceso divisorio y lo adjudicó a Martha Lucía Montiel Morales; después, el 15 de junio de 2012, aprobó el remate.</w:t>
      </w:r>
    </w:p>
    <w:p w14:paraId="11B77B54" w14:textId="77777777" w:rsidR="00F17E7A" w:rsidRPr="00D06CB8" w:rsidRDefault="00F17E7A" w:rsidP="0056217D">
      <w:pPr>
        <w:pStyle w:val="Prrafodelista"/>
        <w:spacing w:after="0" w:line="360" w:lineRule="auto"/>
        <w:ind w:left="0" w:firstLine="567"/>
        <w:rPr>
          <w:rFonts w:ascii="Bookman Old Style" w:eastAsia="Calibri" w:hAnsi="Bookman Old Style"/>
          <w:sz w:val="27"/>
          <w:szCs w:val="27"/>
          <w:lang w:eastAsia="es-ES"/>
        </w:rPr>
      </w:pPr>
    </w:p>
    <w:p w14:paraId="47DF6F81" w14:textId="7BB40771" w:rsidR="00F17E7A" w:rsidRPr="00D06CB8" w:rsidRDefault="00F17E7A" w:rsidP="6F994DCF">
      <w:pPr>
        <w:pStyle w:val="Prrafodelista"/>
        <w:numPr>
          <w:ilvl w:val="0"/>
          <w:numId w:val="14"/>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A partir de junio de 2012, </w:t>
      </w:r>
      <w:r w:rsidR="00FC356C" w:rsidRPr="00D06CB8">
        <w:rPr>
          <w:rFonts w:ascii="Bookman Old Style" w:eastAsia="Calibri" w:hAnsi="Bookman Old Style"/>
          <w:smallCaps/>
          <w:sz w:val="27"/>
          <w:szCs w:val="27"/>
          <w:lang w:val="es-ES" w:eastAsia="es-ES"/>
        </w:rPr>
        <w:t>É</w:t>
      </w:r>
      <w:r w:rsidRPr="00D06CB8">
        <w:rPr>
          <w:rFonts w:ascii="Bookman Old Style" w:eastAsia="Calibri" w:hAnsi="Bookman Old Style"/>
          <w:smallCaps/>
          <w:sz w:val="27"/>
          <w:szCs w:val="27"/>
          <w:lang w:val="es-ES" w:eastAsia="es-ES"/>
        </w:rPr>
        <w:t>dgar Triana</w:t>
      </w:r>
      <w:r w:rsidRPr="00D06CB8">
        <w:rPr>
          <w:rFonts w:ascii="Bookman Old Style" w:eastAsia="Calibri" w:hAnsi="Bookman Old Style"/>
          <w:sz w:val="27"/>
          <w:szCs w:val="27"/>
          <w:lang w:val="es-ES" w:eastAsia="es-ES"/>
        </w:rPr>
        <w:t xml:space="preserve"> ingresó a una parte del predio, donde construyó un encierro con alambre de púas y postes de madera y mantuvo ganado y caballos. Luego, a comienzos del 20</w:t>
      </w:r>
      <w:r w:rsidR="000B7230" w:rsidRPr="00D06CB8">
        <w:rPr>
          <w:rFonts w:ascii="Bookman Old Style" w:eastAsia="Calibri" w:hAnsi="Bookman Old Style"/>
          <w:sz w:val="27"/>
          <w:szCs w:val="27"/>
          <w:lang w:val="es-ES" w:eastAsia="es-ES"/>
        </w:rPr>
        <w:t>1</w:t>
      </w:r>
      <w:r w:rsidRPr="00D06CB8">
        <w:rPr>
          <w:rFonts w:ascii="Bookman Old Style" w:eastAsia="Calibri" w:hAnsi="Bookman Old Style"/>
          <w:sz w:val="27"/>
          <w:szCs w:val="27"/>
          <w:lang w:val="es-ES" w:eastAsia="es-ES"/>
        </w:rPr>
        <w:t xml:space="preserve">3, </w:t>
      </w:r>
      <w:r w:rsidRPr="00D06CB8">
        <w:rPr>
          <w:rFonts w:ascii="Bookman Old Style" w:eastAsia="Calibri" w:hAnsi="Bookman Old Style"/>
          <w:smallCaps/>
          <w:sz w:val="27"/>
          <w:szCs w:val="27"/>
          <w:lang w:val="es-ES" w:eastAsia="es-ES"/>
        </w:rPr>
        <w:t>Armando Loaiza Céspedes</w:t>
      </w:r>
      <w:r w:rsidRPr="00D06CB8">
        <w:rPr>
          <w:rFonts w:ascii="Bookman Old Style" w:eastAsia="Calibri" w:hAnsi="Bookman Old Style"/>
          <w:sz w:val="27"/>
          <w:szCs w:val="27"/>
          <w:lang w:val="es-ES" w:eastAsia="es-ES"/>
        </w:rPr>
        <w:t xml:space="preserve"> cultivó maíz y ahuyama, cerró los lotes con alambre y postes de madera, </w:t>
      </w:r>
      <w:r w:rsidR="00771029" w:rsidRPr="00D06CB8">
        <w:rPr>
          <w:rFonts w:ascii="Bookman Old Style" w:eastAsia="Calibri" w:hAnsi="Bookman Old Style"/>
          <w:sz w:val="27"/>
          <w:szCs w:val="27"/>
          <w:lang w:val="es-ES" w:eastAsia="es-ES"/>
        </w:rPr>
        <w:t xml:space="preserve">también </w:t>
      </w:r>
      <w:r w:rsidRPr="00D06CB8">
        <w:rPr>
          <w:rFonts w:ascii="Bookman Old Style" w:eastAsia="Calibri" w:hAnsi="Bookman Old Style"/>
          <w:sz w:val="27"/>
          <w:szCs w:val="27"/>
          <w:lang w:val="es-ES" w:eastAsia="es-ES"/>
        </w:rPr>
        <w:t xml:space="preserve">quemó y limpió el terreno sin autorización. </w:t>
      </w:r>
      <w:r w:rsidRPr="00D06CB8">
        <w:rPr>
          <w:rFonts w:ascii="Bookman Old Style" w:eastAsia="Calibri" w:hAnsi="Bookman Old Style"/>
          <w:smallCaps/>
          <w:sz w:val="27"/>
          <w:szCs w:val="27"/>
          <w:lang w:val="es-ES" w:eastAsia="es-ES"/>
        </w:rPr>
        <w:t>Luis Enrique Peña Camacho</w:t>
      </w:r>
      <w:r w:rsidRPr="00D06CB8">
        <w:rPr>
          <w:rFonts w:ascii="Bookman Old Style" w:eastAsia="Calibri" w:hAnsi="Bookman Old Style"/>
          <w:sz w:val="27"/>
          <w:szCs w:val="27"/>
          <w:lang w:val="es-ES" w:eastAsia="es-ES"/>
        </w:rPr>
        <w:t xml:space="preserve"> sembró colinos de plátano y levantó cercas y, </w:t>
      </w:r>
      <w:r w:rsidR="007F76F1" w:rsidRPr="00D06CB8">
        <w:rPr>
          <w:rFonts w:ascii="Bookman Old Style" w:eastAsia="Calibri" w:hAnsi="Bookman Old Style"/>
          <w:sz w:val="27"/>
          <w:szCs w:val="27"/>
          <w:lang w:val="es-ES" w:eastAsia="es-ES"/>
        </w:rPr>
        <w:t xml:space="preserve">en mayo de 2013, </w:t>
      </w:r>
      <w:r w:rsidRPr="00D06CB8">
        <w:rPr>
          <w:rFonts w:ascii="Bookman Old Style" w:eastAsia="Calibri" w:hAnsi="Bookman Old Style"/>
          <w:sz w:val="27"/>
          <w:szCs w:val="27"/>
          <w:lang w:val="es-ES" w:eastAsia="es-ES"/>
        </w:rPr>
        <w:t xml:space="preserve">una vez </w:t>
      </w:r>
      <w:r w:rsidR="00FC356C" w:rsidRPr="00D06CB8">
        <w:rPr>
          <w:rFonts w:ascii="Bookman Old Style" w:eastAsia="Calibri" w:hAnsi="Bookman Old Style"/>
          <w:sz w:val="27"/>
          <w:szCs w:val="27"/>
          <w:lang w:val="es-ES" w:eastAsia="es-ES"/>
        </w:rPr>
        <w:t>venc</w:t>
      </w:r>
      <w:r w:rsidR="006B4730" w:rsidRPr="00D06CB8">
        <w:rPr>
          <w:rFonts w:ascii="Bookman Old Style" w:eastAsia="Calibri" w:hAnsi="Bookman Old Style"/>
          <w:sz w:val="27"/>
          <w:szCs w:val="27"/>
          <w:lang w:val="es-ES" w:eastAsia="es-ES"/>
        </w:rPr>
        <w:t>ió</w:t>
      </w:r>
      <w:r w:rsidR="00FC356C" w:rsidRPr="00D06CB8">
        <w:rPr>
          <w:rFonts w:ascii="Bookman Old Style" w:eastAsia="Calibri" w:hAnsi="Bookman Old Style"/>
          <w:sz w:val="27"/>
          <w:szCs w:val="27"/>
          <w:lang w:val="es-ES" w:eastAsia="es-ES"/>
        </w:rPr>
        <w:t xml:space="preserve"> </w:t>
      </w:r>
      <w:r w:rsidRPr="00D06CB8">
        <w:rPr>
          <w:rFonts w:ascii="Bookman Old Style" w:eastAsia="Calibri" w:hAnsi="Bookman Old Style"/>
          <w:sz w:val="27"/>
          <w:szCs w:val="27"/>
          <w:lang w:val="es-ES" w:eastAsia="es-ES"/>
        </w:rPr>
        <w:t xml:space="preserve">el contrato de arrendamiento por dos cosechas que tenía con </w:t>
      </w:r>
      <w:r w:rsidR="00FC356C" w:rsidRPr="00D06CB8">
        <w:rPr>
          <w:rFonts w:ascii="Bookman Old Style" w:eastAsia="Calibri" w:hAnsi="Bookman Old Style"/>
          <w:sz w:val="27"/>
          <w:szCs w:val="27"/>
          <w:lang w:val="es-ES" w:eastAsia="es-ES"/>
        </w:rPr>
        <w:t>Martha Lucía Montiel Morales</w:t>
      </w:r>
      <w:r w:rsidRPr="00D06CB8">
        <w:rPr>
          <w:rFonts w:ascii="Bookman Old Style" w:eastAsia="Calibri" w:hAnsi="Bookman Old Style"/>
          <w:sz w:val="27"/>
          <w:szCs w:val="27"/>
          <w:lang w:val="es-ES" w:eastAsia="es-ES"/>
        </w:rPr>
        <w:t xml:space="preserve">, </w:t>
      </w:r>
      <w:r w:rsidR="000B7230" w:rsidRPr="00D06CB8">
        <w:rPr>
          <w:rFonts w:ascii="Bookman Old Style" w:eastAsia="Calibri" w:hAnsi="Bookman Old Style"/>
          <w:sz w:val="27"/>
          <w:szCs w:val="27"/>
          <w:lang w:val="es-ES" w:eastAsia="es-ES"/>
        </w:rPr>
        <w:t>no restituyó</w:t>
      </w:r>
      <w:r w:rsidRPr="00D06CB8">
        <w:rPr>
          <w:rFonts w:ascii="Bookman Old Style" w:eastAsia="Calibri" w:hAnsi="Bookman Old Style"/>
          <w:sz w:val="27"/>
          <w:szCs w:val="27"/>
          <w:lang w:val="es-ES" w:eastAsia="es-ES"/>
        </w:rPr>
        <w:t xml:space="preserve"> el terreno y alegó posesión. Cuando la víctima y sus administradores les exigieron la devolución de esas áreas, ellos respondieron que “solo la ley los sacaría del lugar”.</w:t>
      </w:r>
    </w:p>
    <w:p w14:paraId="4A988B7C" w14:textId="77777777" w:rsidR="00F17E7A" w:rsidRPr="00D06CB8" w:rsidRDefault="00F17E7A" w:rsidP="0056217D">
      <w:pPr>
        <w:spacing w:after="0" w:line="360" w:lineRule="auto"/>
        <w:ind w:firstLine="567"/>
        <w:jc w:val="both"/>
        <w:rPr>
          <w:rFonts w:ascii="Bookman Old Style" w:eastAsia="Calibri" w:hAnsi="Bookman Old Style"/>
          <w:sz w:val="27"/>
          <w:szCs w:val="27"/>
          <w:lang w:eastAsia="es-ES"/>
        </w:rPr>
      </w:pPr>
    </w:p>
    <w:p w14:paraId="25116823" w14:textId="28B19095" w:rsidR="00F17E7A" w:rsidRPr="00D06CB8" w:rsidRDefault="00F17E7A" w:rsidP="000B7230">
      <w:pPr>
        <w:pStyle w:val="Prrafodelista"/>
        <w:numPr>
          <w:ilvl w:val="0"/>
          <w:numId w:val="14"/>
        </w:numPr>
        <w:snapToGrid w:val="0"/>
        <w:spacing w:after="0" w:line="360" w:lineRule="auto"/>
        <w:ind w:left="0" w:firstLine="567"/>
        <w:contextualSpacing w:val="0"/>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En junio de 2013, la ocupación avanzó. José Yesid Montiel Morales pidió a los tres acusados que devolvieran los terrenos y exhibieran algún documento que respaldara su permanencia, pero no obtuvo respuesta favorable. </w:t>
      </w:r>
    </w:p>
    <w:p w14:paraId="547C3061" w14:textId="77777777" w:rsidR="00F17E7A" w:rsidRPr="00D06CB8" w:rsidRDefault="00F17E7A" w:rsidP="000B7230">
      <w:pPr>
        <w:pStyle w:val="Prrafodelista"/>
        <w:snapToGrid w:val="0"/>
        <w:spacing w:after="0" w:line="360" w:lineRule="auto"/>
        <w:ind w:left="0" w:firstLine="567"/>
        <w:contextualSpacing w:val="0"/>
        <w:rPr>
          <w:rFonts w:ascii="Bookman Old Style" w:eastAsia="Calibri" w:hAnsi="Bookman Old Style"/>
          <w:sz w:val="27"/>
          <w:szCs w:val="27"/>
          <w:lang w:eastAsia="es-ES"/>
        </w:rPr>
      </w:pPr>
    </w:p>
    <w:p w14:paraId="14EFEE11" w14:textId="5CE9275C" w:rsidR="00F17E7A" w:rsidRPr="00D06CB8" w:rsidRDefault="00F17E7A" w:rsidP="000B7230">
      <w:pPr>
        <w:pStyle w:val="Prrafodelista"/>
        <w:numPr>
          <w:ilvl w:val="0"/>
          <w:numId w:val="14"/>
        </w:numPr>
        <w:snapToGrid w:val="0"/>
        <w:spacing w:after="0" w:line="360" w:lineRule="auto"/>
        <w:ind w:left="0" w:firstLine="567"/>
        <w:contextualSpacing w:val="0"/>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En agosto de </w:t>
      </w:r>
      <w:r w:rsidR="000B7230" w:rsidRPr="00D06CB8">
        <w:rPr>
          <w:rFonts w:ascii="Bookman Old Style" w:eastAsia="Calibri" w:hAnsi="Bookman Old Style"/>
          <w:sz w:val="27"/>
          <w:szCs w:val="27"/>
          <w:lang w:eastAsia="es-ES"/>
        </w:rPr>
        <w:t>ese año</w:t>
      </w:r>
      <w:r w:rsidRPr="00D06CB8">
        <w:rPr>
          <w:rFonts w:ascii="Bookman Old Style" w:eastAsia="Calibri" w:hAnsi="Bookman Old Style"/>
          <w:sz w:val="27"/>
          <w:szCs w:val="27"/>
          <w:lang w:eastAsia="es-ES"/>
        </w:rPr>
        <w:t xml:space="preserve">, José Yesid Montiel Morales fue a retirar unos animales que </w:t>
      </w:r>
      <w:r w:rsidRPr="00D06CB8">
        <w:rPr>
          <w:rFonts w:ascii="Bookman Old Style" w:eastAsia="Calibri" w:hAnsi="Bookman Old Style"/>
          <w:smallCaps/>
          <w:sz w:val="27"/>
          <w:szCs w:val="27"/>
          <w:lang w:eastAsia="es-ES"/>
        </w:rPr>
        <w:t>Luis Enrique Peña</w:t>
      </w:r>
      <w:r w:rsidRPr="00D06CB8">
        <w:rPr>
          <w:rFonts w:ascii="Bookman Old Style" w:eastAsia="Calibri" w:hAnsi="Bookman Old Style"/>
          <w:sz w:val="27"/>
          <w:szCs w:val="27"/>
          <w:lang w:eastAsia="es-ES"/>
        </w:rPr>
        <w:t xml:space="preserve"> tenía dentro del predio, allí este último con </w:t>
      </w:r>
      <w:r w:rsidRPr="00D06CB8">
        <w:rPr>
          <w:rFonts w:ascii="Bookman Old Style" w:eastAsia="Calibri" w:hAnsi="Bookman Old Style"/>
          <w:smallCaps/>
          <w:sz w:val="27"/>
          <w:szCs w:val="27"/>
          <w:lang w:eastAsia="es-ES"/>
        </w:rPr>
        <w:t>Armando Loaiza</w:t>
      </w:r>
      <w:r w:rsidRPr="00D06CB8">
        <w:rPr>
          <w:rFonts w:ascii="Bookman Old Style" w:eastAsia="Calibri" w:hAnsi="Bookman Old Style"/>
          <w:sz w:val="27"/>
          <w:szCs w:val="27"/>
          <w:lang w:eastAsia="es-ES"/>
        </w:rPr>
        <w:t xml:space="preserve"> lo amenaz</w:t>
      </w:r>
      <w:r w:rsidR="7CADBE1D" w:rsidRPr="00D06CB8">
        <w:rPr>
          <w:rFonts w:ascii="Bookman Old Style" w:eastAsia="Calibri" w:hAnsi="Bookman Old Style"/>
          <w:sz w:val="27"/>
          <w:szCs w:val="27"/>
          <w:lang w:eastAsia="es-ES"/>
        </w:rPr>
        <w:t>ó</w:t>
      </w:r>
      <w:r w:rsidRPr="00D06CB8">
        <w:rPr>
          <w:rFonts w:ascii="Bookman Old Style" w:eastAsia="Calibri" w:hAnsi="Bookman Old Style"/>
          <w:sz w:val="27"/>
          <w:szCs w:val="27"/>
          <w:lang w:eastAsia="es-ES"/>
        </w:rPr>
        <w:t xml:space="preserve"> con una escopeta y le dij</w:t>
      </w:r>
      <w:r w:rsidR="1F5FBCF6" w:rsidRPr="00D06CB8">
        <w:rPr>
          <w:rFonts w:ascii="Bookman Old Style" w:eastAsia="Calibri" w:hAnsi="Bookman Old Style"/>
          <w:sz w:val="27"/>
          <w:szCs w:val="27"/>
          <w:lang w:eastAsia="es-ES"/>
        </w:rPr>
        <w:t>o</w:t>
      </w:r>
      <w:r w:rsidRPr="00D06CB8">
        <w:rPr>
          <w:rFonts w:ascii="Bookman Old Style" w:eastAsia="Calibri" w:hAnsi="Bookman Old Style"/>
          <w:sz w:val="27"/>
          <w:szCs w:val="27"/>
          <w:lang w:eastAsia="es-ES"/>
        </w:rPr>
        <w:t xml:space="preserve"> que lo mataría si no abandonaba la región. </w:t>
      </w:r>
      <w:r w:rsidRPr="00D06CB8">
        <w:rPr>
          <w:rFonts w:ascii="Bookman Old Style" w:eastAsia="Calibri" w:hAnsi="Bookman Old Style"/>
          <w:sz w:val="27"/>
          <w:szCs w:val="27"/>
          <w:lang w:eastAsia="es-ES"/>
        </w:rPr>
        <w:lastRenderedPageBreak/>
        <w:t xml:space="preserve">Ese episodio lo obligó a dejar la administración de la finca ese mismo mes. </w:t>
      </w:r>
    </w:p>
    <w:p w14:paraId="538CAE9B" w14:textId="77777777" w:rsidR="00F17E7A" w:rsidRPr="00D06CB8" w:rsidRDefault="00F17E7A" w:rsidP="0056217D">
      <w:pPr>
        <w:pStyle w:val="Prrafodelista"/>
        <w:spacing w:after="0" w:line="360" w:lineRule="auto"/>
        <w:ind w:left="0" w:firstLine="567"/>
        <w:rPr>
          <w:rFonts w:ascii="Bookman Old Style" w:eastAsia="Calibri" w:hAnsi="Bookman Old Style"/>
          <w:sz w:val="27"/>
          <w:szCs w:val="27"/>
          <w:lang w:eastAsia="es-ES"/>
        </w:rPr>
      </w:pPr>
    </w:p>
    <w:p w14:paraId="76B26828" w14:textId="0EB37644" w:rsidR="00F17E7A" w:rsidRPr="00D06CB8" w:rsidRDefault="00F17E7A" w:rsidP="0056217D">
      <w:pPr>
        <w:pStyle w:val="Prrafodelista"/>
        <w:numPr>
          <w:ilvl w:val="0"/>
          <w:numId w:val="14"/>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Juan Carlos Llanos Culma y Martha Lucía Montiel Morales también </w:t>
      </w:r>
      <w:r w:rsidR="000B7230" w:rsidRPr="00D06CB8">
        <w:rPr>
          <w:rFonts w:ascii="Bookman Old Style" w:eastAsia="Calibri" w:hAnsi="Bookman Old Style"/>
          <w:sz w:val="27"/>
          <w:szCs w:val="27"/>
          <w:lang w:eastAsia="es-ES"/>
        </w:rPr>
        <w:t>denunciaron</w:t>
      </w:r>
      <w:r w:rsidRPr="00D06CB8">
        <w:rPr>
          <w:rFonts w:ascii="Bookman Old Style" w:eastAsia="Calibri" w:hAnsi="Bookman Old Style"/>
          <w:sz w:val="27"/>
          <w:szCs w:val="27"/>
          <w:lang w:eastAsia="es-ES"/>
        </w:rPr>
        <w:t xml:space="preserve"> amenazas e intimidaciones </w:t>
      </w:r>
      <w:r w:rsidR="000B7230" w:rsidRPr="00D06CB8">
        <w:rPr>
          <w:rFonts w:ascii="Bookman Old Style" w:eastAsia="Calibri" w:hAnsi="Bookman Old Style"/>
          <w:sz w:val="27"/>
          <w:szCs w:val="27"/>
          <w:lang w:eastAsia="es-ES"/>
        </w:rPr>
        <w:t xml:space="preserve">de los procesados </w:t>
      </w:r>
      <w:r w:rsidRPr="00D06CB8">
        <w:rPr>
          <w:rFonts w:ascii="Bookman Old Style" w:eastAsia="Calibri" w:hAnsi="Bookman Old Style"/>
          <w:sz w:val="27"/>
          <w:szCs w:val="27"/>
          <w:lang w:eastAsia="es-ES"/>
        </w:rPr>
        <w:t xml:space="preserve">contra </w:t>
      </w:r>
      <w:r w:rsidR="000B7230" w:rsidRPr="00D06CB8">
        <w:rPr>
          <w:rFonts w:ascii="Bookman Old Style" w:eastAsia="Calibri" w:hAnsi="Bookman Old Style"/>
          <w:sz w:val="27"/>
          <w:szCs w:val="27"/>
          <w:lang w:eastAsia="es-ES"/>
        </w:rPr>
        <w:t>los empleados de “</w:t>
      </w:r>
      <w:r w:rsidRPr="00D06CB8">
        <w:rPr>
          <w:rFonts w:ascii="Bookman Old Style" w:eastAsia="Calibri" w:hAnsi="Bookman Old Style"/>
          <w:sz w:val="27"/>
          <w:szCs w:val="27"/>
          <w:lang w:eastAsia="es-ES"/>
        </w:rPr>
        <w:t>Las Mercedes</w:t>
      </w:r>
      <w:r w:rsidR="000B7230"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w:t>
      </w:r>
    </w:p>
    <w:p w14:paraId="501403F9" w14:textId="77777777" w:rsidR="005F2ACD" w:rsidRPr="00D06CB8" w:rsidRDefault="005F2ACD" w:rsidP="0060500E">
      <w:pPr>
        <w:spacing w:after="0" w:line="360" w:lineRule="auto"/>
        <w:jc w:val="both"/>
        <w:rPr>
          <w:rFonts w:ascii="Bookman Old Style" w:eastAsia="Calibri" w:hAnsi="Bookman Old Style"/>
          <w:sz w:val="27"/>
          <w:szCs w:val="27"/>
          <w:lang w:eastAsia="es-ES"/>
        </w:rPr>
      </w:pPr>
    </w:p>
    <w:p w14:paraId="10C95D74" w14:textId="495B5792" w:rsidR="005F2ACD" w:rsidRPr="00D06CB8" w:rsidRDefault="005F2ACD" w:rsidP="0056217D">
      <w:pPr>
        <w:pStyle w:val="Prrafodelista"/>
        <w:numPr>
          <w:ilvl w:val="0"/>
          <w:numId w:val="14"/>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El 1º de agosto de 2013 se inscribió en la oficina de registro de instrumentos públicos la escritura que protocolizaba la propiedad a nombre de Martha Lucía Montiel Morales.</w:t>
      </w:r>
    </w:p>
    <w:p w14:paraId="6D0ECC71" w14:textId="77777777" w:rsidR="005F2ACD" w:rsidRPr="00D06CB8" w:rsidRDefault="005F2ACD" w:rsidP="0060500E">
      <w:pPr>
        <w:pStyle w:val="Prrafodelista"/>
        <w:spacing w:after="0" w:line="360" w:lineRule="auto"/>
        <w:ind w:left="567"/>
        <w:jc w:val="both"/>
        <w:rPr>
          <w:rFonts w:ascii="Bookman Old Style" w:eastAsia="Calibri" w:hAnsi="Bookman Old Style"/>
          <w:sz w:val="27"/>
          <w:szCs w:val="27"/>
          <w:lang w:eastAsia="es-ES"/>
        </w:rPr>
      </w:pPr>
    </w:p>
    <w:p w14:paraId="728ECD98" w14:textId="00BDEA12" w:rsidR="00F17E7A" w:rsidRPr="00D06CB8" w:rsidRDefault="005F2ACD" w:rsidP="0056217D">
      <w:pPr>
        <w:pStyle w:val="Prrafodelista"/>
        <w:numPr>
          <w:ilvl w:val="0"/>
          <w:numId w:val="14"/>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w:t>
      </w:r>
      <w:r w:rsidR="00F17E7A" w:rsidRPr="00D06CB8">
        <w:rPr>
          <w:rFonts w:ascii="Bookman Old Style" w:eastAsia="Calibri" w:hAnsi="Bookman Old Style"/>
          <w:sz w:val="27"/>
          <w:szCs w:val="27"/>
          <w:lang w:eastAsia="es-ES"/>
        </w:rPr>
        <w:t xml:space="preserve">El 24 de octubre de 2013, las partes acudieron a una conciliación en la Fiscalía Local de Purificación, pero no lograron </w:t>
      </w:r>
      <w:r w:rsidR="008D5D26" w:rsidRPr="00D06CB8">
        <w:rPr>
          <w:rFonts w:ascii="Bookman Old Style" w:eastAsia="Calibri" w:hAnsi="Bookman Old Style"/>
          <w:sz w:val="27"/>
          <w:szCs w:val="27"/>
          <w:lang w:eastAsia="es-ES"/>
        </w:rPr>
        <w:t xml:space="preserve">un </w:t>
      </w:r>
      <w:r w:rsidR="00F17E7A" w:rsidRPr="00D06CB8">
        <w:rPr>
          <w:rFonts w:ascii="Bookman Old Style" w:eastAsia="Calibri" w:hAnsi="Bookman Old Style"/>
          <w:sz w:val="27"/>
          <w:szCs w:val="27"/>
          <w:lang w:eastAsia="es-ES"/>
        </w:rPr>
        <w:t>acuerdo. Después, el 31 de enero de 2014,</w:t>
      </w:r>
      <w:r w:rsidR="008D5D26" w:rsidRPr="00D06CB8">
        <w:rPr>
          <w:rFonts w:ascii="Bookman Old Style" w:eastAsia="Calibri" w:hAnsi="Bookman Old Style"/>
          <w:sz w:val="27"/>
          <w:szCs w:val="27"/>
          <w:lang w:eastAsia="es-ES"/>
        </w:rPr>
        <w:t xml:space="preserve"> dos años luego de la adjudicación,</w:t>
      </w:r>
      <w:r w:rsidR="00F17E7A" w:rsidRPr="00D06CB8">
        <w:rPr>
          <w:rFonts w:ascii="Bookman Old Style" w:eastAsia="Calibri" w:hAnsi="Bookman Old Style"/>
          <w:sz w:val="27"/>
          <w:szCs w:val="27"/>
          <w:lang w:eastAsia="es-ES"/>
        </w:rPr>
        <w:t xml:space="preserve"> durante la diligencia de entrega material, el </w:t>
      </w:r>
      <w:r w:rsidR="00FC356C" w:rsidRPr="00D06CB8">
        <w:rPr>
          <w:rFonts w:ascii="Bookman Old Style" w:eastAsia="Calibri" w:hAnsi="Bookman Old Style"/>
          <w:sz w:val="27"/>
          <w:szCs w:val="27"/>
          <w:lang w:eastAsia="es-ES"/>
        </w:rPr>
        <w:t>Juzgado Civil del Circuito de Purificación</w:t>
      </w:r>
      <w:r w:rsidR="00FC356C" w:rsidRPr="00D06CB8" w:rsidDel="00FC356C">
        <w:rPr>
          <w:rFonts w:ascii="Bookman Old Style" w:eastAsia="Calibri" w:hAnsi="Bookman Old Style"/>
          <w:sz w:val="27"/>
          <w:szCs w:val="27"/>
          <w:lang w:eastAsia="es-ES"/>
        </w:rPr>
        <w:t xml:space="preserve"> </w:t>
      </w:r>
      <w:r w:rsidR="00F17E7A" w:rsidRPr="00D06CB8">
        <w:rPr>
          <w:rFonts w:ascii="Bookman Old Style" w:eastAsia="Calibri" w:hAnsi="Bookman Old Style"/>
          <w:sz w:val="27"/>
          <w:szCs w:val="27"/>
          <w:lang w:eastAsia="es-ES"/>
        </w:rPr>
        <w:t>constató que “Las Mercedes” ya tenía ocupación y explotación por terceros, pues encontró ganado, un encierro con corral y una zona sembrada con colinos. Además, los procesados comparecieron a esa actuación, conocieron la adjudicación del predio y, aunque recibieron información sobre su derecho de oponerse, no formularon oposición</w:t>
      </w:r>
      <w:r w:rsidR="000B7230" w:rsidRPr="00D06CB8">
        <w:rPr>
          <w:rFonts w:ascii="Bookman Old Style" w:eastAsia="Calibri" w:hAnsi="Bookman Old Style"/>
          <w:sz w:val="27"/>
          <w:szCs w:val="27"/>
          <w:lang w:eastAsia="es-ES"/>
        </w:rPr>
        <w:t xml:space="preserve"> alguna.</w:t>
      </w:r>
      <w:r w:rsidR="008D5D26" w:rsidRPr="00D06CB8">
        <w:rPr>
          <w:rFonts w:ascii="Bookman Old Style" w:eastAsia="Calibri" w:hAnsi="Bookman Old Style"/>
          <w:sz w:val="27"/>
          <w:szCs w:val="27"/>
          <w:lang w:eastAsia="es-ES"/>
        </w:rPr>
        <w:t xml:space="preserve"> </w:t>
      </w:r>
    </w:p>
    <w:p w14:paraId="6B723EC5" w14:textId="263E2341" w:rsidR="00F17E7A" w:rsidRPr="00D06CB8" w:rsidRDefault="00F17E7A" w:rsidP="0056217D">
      <w:pPr>
        <w:pStyle w:val="Prrafodelista"/>
        <w:spacing w:after="0" w:line="360" w:lineRule="auto"/>
        <w:ind w:left="0" w:firstLine="567"/>
        <w:rPr>
          <w:rFonts w:ascii="Bookman Old Style" w:eastAsia="Calibri" w:hAnsi="Bookman Old Style"/>
          <w:sz w:val="27"/>
          <w:szCs w:val="27"/>
          <w:lang w:eastAsia="es-ES"/>
        </w:rPr>
      </w:pPr>
    </w:p>
    <w:p w14:paraId="1FCEDD5D" w14:textId="3899E08F" w:rsidR="00F17E7A" w:rsidRPr="00D06CB8" w:rsidRDefault="00F17E7A" w:rsidP="6F994DCF">
      <w:pPr>
        <w:pStyle w:val="Prrafodelista"/>
        <w:numPr>
          <w:ilvl w:val="0"/>
          <w:numId w:val="14"/>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La ocupación de “Las Mercedes” continuó y aumentó. En noviembre de 2015, la víctima informó que la invasión había crecido y precisó que </w:t>
      </w:r>
      <w:r w:rsidRPr="00D06CB8">
        <w:rPr>
          <w:rFonts w:ascii="Bookman Old Style" w:eastAsia="Calibri" w:hAnsi="Bookman Old Style"/>
          <w:smallCaps/>
          <w:sz w:val="27"/>
          <w:szCs w:val="27"/>
          <w:lang w:val="es-ES" w:eastAsia="es-ES"/>
        </w:rPr>
        <w:t xml:space="preserve">Armando Loaiza </w:t>
      </w:r>
      <w:r w:rsidR="00A82903" w:rsidRPr="00D06CB8">
        <w:rPr>
          <w:rFonts w:ascii="Bookman Old Style" w:eastAsia="Calibri" w:hAnsi="Bookman Old Style"/>
          <w:smallCaps/>
          <w:sz w:val="27"/>
          <w:szCs w:val="27"/>
          <w:lang w:val="es-ES" w:eastAsia="es-ES"/>
        </w:rPr>
        <w:t>Céspedes</w:t>
      </w:r>
      <w:r w:rsidR="00A82903" w:rsidRPr="00D06CB8">
        <w:rPr>
          <w:rFonts w:ascii="Bookman Old Style" w:eastAsia="Calibri" w:hAnsi="Bookman Old Style"/>
          <w:sz w:val="27"/>
          <w:szCs w:val="27"/>
          <w:lang w:val="es-ES" w:eastAsia="es-ES"/>
        </w:rPr>
        <w:t xml:space="preserve"> </w:t>
      </w:r>
      <w:r w:rsidRPr="00D06CB8">
        <w:rPr>
          <w:rFonts w:ascii="Bookman Old Style" w:eastAsia="Calibri" w:hAnsi="Bookman Old Style"/>
          <w:sz w:val="27"/>
          <w:szCs w:val="27"/>
          <w:lang w:val="es-ES" w:eastAsia="es-ES"/>
        </w:rPr>
        <w:t xml:space="preserve">ocupaba cerca de 8 hectáreas, </w:t>
      </w:r>
      <w:r w:rsidRPr="00D06CB8">
        <w:rPr>
          <w:rFonts w:ascii="Bookman Old Style" w:eastAsia="Calibri" w:hAnsi="Bookman Old Style"/>
          <w:smallCaps/>
          <w:sz w:val="27"/>
          <w:szCs w:val="27"/>
          <w:lang w:val="es-ES" w:eastAsia="es-ES"/>
        </w:rPr>
        <w:t>Luis Enrique Peña</w:t>
      </w:r>
      <w:r w:rsidRPr="00D06CB8">
        <w:rPr>
          <w:rFonts w:ascii="Bookman Old Style" w:eastAsia="Calibri" w:hAnsi="Bookman Old Style"/>
          <w:sz w:val="27"/>
          <w:szCs w:val="27"/>
          <w:lang w:val="es-ES" w:eastAsia="es-ES"/>
        </w:rPr>
        <w:t xml:space="preserve"> </w:t>
      </w:r>
      <w:r w:rsidR="00A82903" w:rsidRPr="00D06CB8">
        <w:rPr>
          <w:rFonts w:ascii="Bookman Old Style" w:eastAsia="Calibri" w:hAnsi="Bookman Old Style"/>
          <w:smallCaps/>
          <w:sz w:val="27"/>
          <w:szCs w:val="27"/>
          <w:lang w:val="es-ES" w:eastAsia="es-ES"/>
        </w:rPr>
        <w:t>Camacho</w:t>
      </w:r>
      <w:r w:rsidR="00A82903" w:rsidRPr="00D06CB8">
        <w:rPr>
          <w:rFonts w:ascii="Bookman Old Style" w:eastAsia="Calibri" w:hAnsi="Bookman Old Style"/>
          <w:sz w:val="27"/>
          <w:szCs w:val="27"/>
          <w:lang w:val="es-ES" w:eastAsia="es-ES"/>
        </w:rPr>
        <w:t xml:space="preserve"> </w:t>
      </w:r>
      <w:r w:rsidR="007F76F1" w:rsidRPr="00D06CB8">
        <w:rPr>
          <w:rFonts w:ascii="Bookman Old Style" w:eastAsia="Calibri" w:hAnsi="Bookman Old Style"/>
          <w:sz w:val="27"/>
          <w:szCs w:val="27"/>
          <w:lang w:val="es-ES" w:eastAsia="es-ES"/>
        </w:rPr>
        <w:t xml:space="preserve">y </w:t>
      </w:r>
      <w:r w:rsidR="007F76F1" w:rsidRPr="00D06CB8">
        <w:rPr>
          <w:rFonts w:ascii="Bookman Old Style" w:eastAsia="Calibri" w:hAnsi="Bookman Old Style"/>
          <w:smallCaps/>
          <w:sz w:val="27"/>
          <w:szCs w:val="27"/>
          <w:lang w:val="es-ES" w:eastAsia="es-ES"/>
        </w:rPr>
        <w:t>Édgar Triana</w:t>
      </w:r>
      <w:r w:rsidR="007F76F1" w:rsidRPr="00D06CB8">
        <w:rPr>
          <w:rFonts w:ascii="Bookman Old Style" w:eastAsia="Calibri" w:hAnsi="Bookman Old Style"/>
          <w:sz w:val="27"/>
          <w:szCs w:val="27"/>
          <w:lang w:val="es-ES" w:eastAsia="es-ES"/>
        </w:rPr>
        <w:t xml:space="preserve"> </w:t>
      </w:r>
      <w:r w:rsidRPr="00D06CB8">
        <w:rPr>
          <w:rFonts w:ascii="Bookman Old Style" w:eastAsia="Calibri" w:hAnsi="Bookman Old Style"/>
          <w:sz w:val="27"/>
          <w:szCs w:val="27"/>
          <w:lang w:val="es-ES" w:eastAsia="es-ES"/>
        </w:rPr>
        <w:t xml:space="preserve">alrededor de 2 hectáreas </w:t>
      </w:r>
      <w:r w:rsidR="007F76F1" w:rsidRPr="00D06CB8">
        <w:rPr>
          <w:rFonts w:ascii="Bookman Old Style" w:eastAsia="Calibri" w:hAnsi="Bookman Old Style"/>
          <w:sz w:val="27"/>
          <w:szCs w:val="27"/>
          <w:lang w:val="es-ES" w:eastAsia="es-ES"/>
        </w:rPr>
        <w:t>respectivamente</w:t>
      </w:r>
      <w:r w:rsidRPr="00D06CB8">
        <w:rPr>
          <w:rFonts w:ascii="Bookman Old Style" w:eastAsia="Calibri" w:hAnsi="Bookman Old Style"/>
          <w:sz w:val="27"/>
          <w:szCs w:val="27"/>
          <w:lang w:val="es-ES" w:eastAsia="es-ES"/>
        </w:rPr>
        <w:t xml:space="preserve">, en las </w:t>
      </w:r>
      <w:r w:rsidRPr="00D06CB8">
        <w:rPr>
          <w:rFonts w:ascii="Bookman Old Style" w:eastAsia="Calibri" w:hAnsi="Bookman Old Style"/>
          <w:sz w:val="27"/>
          <w:szCs w:val="27"/>
          <w:lang w:val="es-ES" w:eastAsia="es-ES"/>
        </w:rPr>
        <w:lastRenderedPageBreak/>
        <w:t xml:space="preserve">que mantenían cultivos, ganado y salidas abiertas para sacar productos. </w:t>
      </w:r>
    </w:p>
    <w:p w14:paraId="5E0EF237" w14:textId="77777777" w:rsidR="00F17E7A" w:rsidRPr="00D06CB8" w:rsidRDefault="00F17E7A" w:rsidP="0056217D">
      <w:pPr>
        <w:pStyle w:val="Prrafodelista"/>
        <w:spacing w:after="0" w:line="360" w:lineRule="auto"/>
        <w:rPr>
          <w:rFonts w:ascii="Bookman Old Style" w:eastAsia="Calibri" w:hAnsi="Bookman Old Style"/>
          <w:sz w:val="27"/>
          <w:szCs w:val="27"/>
          <w:lang w:eastAsia="es-ES"/>
        </w:rPr>
      </w:pPr>
    </w:p>
    <w:p w14:paraId="0FDB2E0D" w14:textId="2F248BE0" w:rsidR="00F17E7A" w:rsidRPr="00D06CB8" w:rsidRDefault="00F17E7A" w:rsidP="6F994DCF">
      <w:pPr>
        <w:pStyle w:val="Prrafodelista"/>
        <w:numPr>
          <w:ilvl w:val="0"/>
          <w:numId w:val="14"/>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Para comienzos de 2016, esa ocupación ya había causado </w:t>
      </w:r>
      <w:r w:rsidR="00FA3657" w:rsidRPr="00D06CB8">
        <w:rPr>
          <w:rFonts w:ascii="Bookman Old Style" w:eastAsia="Calibri" w:hAnsi="Bookman Old Style"/>
          <w:sz w:val="27"/>
          <w:szCs w:val="27"/>
          <w:lang w:val="es-ES" w:eastAsia="es-ES"/>
        </w:rPr>
        <w:t xml:space="preserve">la </w:t>
      </w:r>
      <w:r w:rsidRPr="00D06CB8">
        <w:rPr>
          <w:rFonts w:ascii="Bookman Old Style" w:eastAsia="Calibri" w:hAnsi="Bookman Old Style"/>
          <w:sz w:val="27"/>
          <w:szCs w:val="27"/>
          <w:lang w:val="es-ES" w:eastAsia="es-ES"/>
        </w:rPr>
        <w:t xml:space="preserve">tala de árboles dentro de la finca. Luego, para noviembre de ese año, la explotación del predio aparecía consolidada con cercos, cultivos y accesos abiertos en distintas franjas del inmueble. </w:t>
      </w:r>
      <w:r w:rsidR="007F76F1" w:rsidRPr="00D06CB8">
        <w:rPr>
          <w:rFonts w:ascii="Bookman Old Style" w:eastAsia="Calibri" w:hAnsi="Bookman Old Style"/>
          <w:sz w:val="27"/>
          <w:szCs w:val="27"/>
          <w:lang w:val="es-ES" w:eastAsia="es-ES"/>
        </w:rPr>
        <w:t>El</w:t>
      </w:r>
      <w:r w:rsidRPr="00D06CB8">
        <w:rPr>
          <w:rFonts w:ascii="Bookman Old Style" w:eastAsia="Calibri" w:hAnsi="Bookman Old Style"/>
          <w:sz w:val="27"/>
          <w:szCs w:val="27"/>
          <w:lang w:val="es-ES" w:eastAsia="es-ES"/>
        </w:rPr>
        <w:t xml:space="preserve"> 31 de enero de 2018, cuando aún existían cuatro áreas ocupadas dentro de “Las Mercedes”: una por </w:t>
      </w:r>
      <w:r w:rsidRPr="00D06CB8">
        <w:rPr>
          <w:rFonts w:ascii="Bookman Old Style" w:eastAsia="Calibri" w:hAnsi="Bookman Old Style"/>
          <w:smallCaps/>
          <w:sz w:val="27"/>
          <w:szCs w:val="27"/>
          <w:lang w:val="es-ES" w:eastAsia="es-ES"/>
        </w:rPr>
        <w:t>Peña Camacho</w:t>
      </w:r>
      <w:r w:rsidR="00FA3657" w:rsidRPr="00D06CB8">
        <w:rPr>
          <w:rFonts w:ascii="Bookman Old Style" w:eastAsia="Calibri" w:hAnsi="Bookman Old Style"/>
          <w:sz w:val="27"/>
          <w:szCs w:val="27"/>
          <w:lang w:val="es-ES" w:eastAsia="es-ES"/>
        </w:rPr>
        <w:t xml:space="preserve"> y </w:t>
      </w:r>
      <w:r w:rsidR="00FA3657" w:rsidRPr="00D06CB8">
        <w:rPr>
          <w:rFonts w:ascii="Bookman Old Style" w:eastAsia="Calibri" w:hAnsi="Bookman Old Style"/>
          <w:smallCaps/>
          <w:sz w:val="27"/>
          <w:szCs w:val="27"/>
          <w:lang w:val="es-ES" w:eastAsia="es-ES"/>
        </w:rPr>
        <w:t>Loaiza Céspedes</w:t>
      </w:r>
      <w:r w:rsidR="005F2ACD" w:rsidRPr="00D06CB8">
        <w:rPr>
          <w:rFonts w:ascii="Bookman Old Style" w:eastAsia="Calibri" w:hAnsi="Bookman Old Style"/>
          <w:sz w:val="27"/>
          <w:szCs w:val="27"/>
          <w:lang w:val="es-ES" w:eastAsia="es-ES"/>
        </w:rPr>
        <w:t xml:space="preserve">, </w:t>
      </w:r>
      <w:r w:rsidR="00FA3657" w:rsidRPr="00D06CB8">
        <w:rPr>
          <w:rFonts w:ascii="Bookman Old Style" w:eastAsia="Calibri" w:hAnsi="Bookman Old Style"/>
          <w:sz w:val="27"/>
          <w:szCs w:val="27"/>
          <w:lang w:val="es-ES" w:eastAsia="es-ES"/>
        </w:rPr>
        <w:t>respectivamente</w:t>
      </w:r>
      <w:r w:rsidR="005F2ACD" w:rsidRPr="00D06CB8">
        <w:rPr>
          <w:rFonts w:ascii="Bookman Old Style" w:eastAsia="Calibri" w:hAnsi="Bookman Old Style"/>
          <w:sz w:val="27"/>
          <w:szCs w:val="27"/>
          <w:lang w:val="es-ES" w:eastAsia="es-ES"/>
        </w:rPr>
        <w:t>,</w:t>
      </w:r>
      <w:r w:rsidR="00FA3657" w:rsidRPr="00D06CB8">
        <w:rPr>
          <w:rFonts w:ascii="Bookman Old Style" w:eastAsia="Calibri" w:hAnsi="Bookman Old Style"/>
          <w:sz w:val="27"/>
          <w:szCs w:val="27"/>
          <w:lang w:val="es-ES" w:eastAsia="es-ES"/>
        </w:rPr>
        <w:t xml:space="preserve"> y </w:t>
      </w:r>
      <w:r w:rsidRPr="00D06CB8">
        <w:rPr>
          <w:rFonts w:ascii="Bookman Old Style" w:eastAsia="Calibri" w:hAnsi="Bookman Old Style"/>
          <w:sz w:val="27"/>
          <w:szCs w:val="27"/>
          <w:lang w:val="es-ES" w:eastAsia="es-ES"/>
        </w:rPr>
        <w:t xml:space="preserve">dos por </w:t>
      </w:r>
      <w:r w:rsidRPr="00D06CB8">
        <w:rPr>
          <w:rFonts w:ascii="Bookman Old Style" w:eastAsia="Calibri" w:hAnsi="Bookman Old Style"/>
          <w:smallCaps/>
          <w:sz w:val="27"/>
          <w:szCs w:val="27"/>
          <w:lang w:val="es-ES" w:eastAsia="es-ES"/>
        </w:rPr>
        <w:t>Triana</w:t>
      </w:r>
      <w:r w:rsidR="00FA3657" w:rsidRPr="00D06CB8">
        <w:rPr>
          <w:rFonts w:ascii="Bookman Old Style" w:eastAsia="Calibri" w:hAnsi="Bookman Old Style"/>
          <w:sz w:val="27"/>
          <w:szCs w:val="27"/>
          <w:lang w:val="es-ES" w:eastAsia="es-ES"/>
        </w:rPr>
        <w:t xml:space="preserve">. </w:t>
      </w:r>
      <w:r w:rsidRPr="00D06CB8">
        <w:rPr>
          <w:rFonts w:ascii="Bookman Old Style" w:eastAsia="Calibri" w:hAnsi="Bookman Old Style"/>
          <w:sz w:val="27"/>
          <w:szCs w:val="27"/>
          <w:lang w:val="es-ES" w:eastAsia="es-ES"/>
        </w:rPr>
        <w:t>En esos sectores había cerramientos, cultivos y uso ganadero, lo que mostró que los tres procesados mantuvieron la ocupación de la finca y ampliaron, en algunos puntos, su aprovechamiento material.</w:t>
      </w:r>
    </w:p>
    <w:p w14:paraId="66826843" w14:textId="77777777" w:rsidR="00F17E7A" w:rsidRPr="00D06CB8" w:rsidRDefault="00F17E7A" w:rsidP="0056217D">
      <w:pPr>
        <w:pStyle w:val="Prrafodelista"/>
        <w:spacing w:after="0" w:line="360" w:lineRule="auto"/>
        <w:ind w:left="0" w:firstLine="567"/>
        <w:rPr>
          <w:rFonts w:ascii="Bookman Old Style" w:eastAsia="Calibri" w:hAnsi="Bookman Old Style"/>
          <w:sz w:val="27"/>
          <w:szCs w:val="27"/>
          <w:lang w:eastAsia="es-ES"/>
        </w:rPr>
      </w:pPr>
    </w:p>
    <w:p w14:paraId="2CE036E9" w14:textId="67D1D2CB" w:rsidR="00F17E7A" w:rsidRPr="00D06CB8" w:rsidRDefault="00F17E7A" w:rsidP="0056217D">
      <w:pPr>
        <w:pStyle w:val="Prrafodelista"/>
        <w:numPr>
          <w:ilvl w:val="0"/>
          <w:numId w:val="14"/>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En ese orden, la ocupación de la finca </w:t>
      </w:r>
      <w:r w:rsidR="008D5D26"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8D5D26"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permaneció, por lo menos, hasta el 25 de abril de 2018, fecha en la que la Fiscalía formuló la acusación.</w:t>
      </w:r>
    </w:p>
    <w:p w14:paraId="1286EEFF" w14:textId="29F662D3" w:rsidR="00F17E7A" w:rsidRPr="00D06CB8" w:rsidRDefault="00F17E7A" w:rsidP="0056217D">
      <w:pPr>
        <w:spacing w:after="0" w:line="360" w:lineRule="auto"/>
        <w:jc w:val="both"/>
        <w:rPr>
          <w:rFonts w:ascii="Bookman Old Style" w:eastAsia="Calibri" w:hAnsi="Bookman Old Style"/>
          <w:sz w:val="27"/>
          <w:szCs w:val="27"/>
          <w:lang w:eastAsia="es-ES"/>
        </w:rPr>
      </w:pPr>
    </w:p>
    <w:p w14:paraId="01134392" w14:textId="4A1BEA0F" w:rsidR="003C6C5D" w:rsidRPr="00D06CB8" w:rsidRDefault="00520EBC" w:rsidP="0060500E">
      <w:pPr>
        <w:pStyle w:val="Prrafodelista"/>
        <w:numPr>
          <w:ilvl w:val="0"/>
          <w:numId w:val="15"/>
        </w:numPr>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rPr>
        <w:t xml:space="preserve"> Para la Corte, la secuencia fáctica reconstruida a partir de los medios de conocimiento aportados por la Fiscalía resulta </w:t>
      </w:r>
      <w:r w:rsidR="001A17A6" w:rsidRPr="00D06CB8">
        <w:rPr>
          <w:rFonts w:ascii="Bookman Old Style" w:eastAsia="Bookman Old Style" w:hAnsi="Bookman Old Style" w:cs="Bookman Old Style"/>
          <w:sz w:val="27"/>
          <w:szCs w:val="27"/>
        </w:rPr>
        <w:t xml:space="preserve">coherente y </w:t>
      </w:r>
      <w:r w:rsidRPr="00D06CB8">
        <w:rPr>
          <w:rFonts w:ascii="Bookman Old Style" w:eastAsia="Bookman Old Style" w:hAnsi="Bookman Old Style" w:cs="Bookman Old Style"/>
          <w:sz w:val="27"/>
          <w:szCs w:val="27"/>
        </w:rPr>
        <w:t>fiable</w:t>
      </w:r>
      <w:r w:rsidR="001A17A6" w:rsidRPr="00D06CB8">
        <w:rPr>
          <w:rFonts w:ascii="Bookman Old Style" w:eastAsia="Bookman Old Style" w:hAnsi="Bookman Old Style" w:cs="Bookman Old Style"/>
          <w:sz w:val="27"/>
          <w:szCs w:val="27"/>
        </w:rPr>
        <w:t>. Sobre esa base advierte que</w:t>
      </w:r>
      <w:r w:rsidR="008F096A" w:rsidRPr="00D06CB8">
        <w:rPr>
          <w:rFonts w:ascii="Bookman Old Style" w:eastAsia="Bookman Old Style" w:hAnsi="Bookman Old Style" w:cs="Bookman Old Style"/>
          <w:sz w:val="27"/>
          <w:szCs w:val="27"/>
        </w:rPr>
        <w:t xml:space="preserve"> </w:t>
      </w:r>
      <w:r w:rsidR="00EB4CF7" w:rsidRPr="00D06CB8">
        <w:rPr>
          <w:rFonts w:ascii="Bookman Old Style" w:eastAsia="Bookman Old Style" w:hAnsi="Bookman Old Style" w:cs="Bookman Old Style"/>
          <w:sz w:val="27"/>
          <w:szCs w:val="27"/>
          <w:lang w:val="es-CO"/>
        </w:rPr>
        <w:t>l</w:t>
      </w:r>
      <w:r w:rsidR="003C6C5D" w:rsidRPr="00D06CB8">
        <w:rPr>
          <w:rFonts w:ascii="Bookman Old Style" w:eastAsia="Bookman Old Style" w:hAnsi="Bookman Old Style" w:cs="Bookman Old Style"/>
          <w:sz w:val="27"/>
          <w:szCs w:val="27"/>
          <w:lang w:val="es-CO"/>
        </w:rPr>
        <w:t xml:space="preserve">a conducta desplegada por </w:t>
      </w:r>
      <w:r w:rsidR="003C6C5D" w:rsidRPr="00D06CB8">
        <w:rPr>
          <w:rFonts w:ascii="Bookman Old Style" w:eastAsia="Bookman Old Style" w:hAnsi="Bookman Old Style" w:cs="Bookman Old Style"/>
          <w:smallCaps/>
          <w:sz w:val="27"/>
          <w:szCs w:val="27"/>
          <w:lang w:val="es-CO"/>
        </w:rPr>
        <w:t xml:space="preserve">Armando Loaiza Céspedes, Luis Enrique Peña Camacho </w:t>
      </w:r>
      <w:r w:rsidR="003C6C5D" w:rsidRPr="00D06CB8">
        <w:rPr>
          <w:rFonts w:ascii="Bookman Old Style" w:eastAsia="Bookman Old Style" w:hAnsi="Bookman Old Style" w:cs="Bookman Old Style"/>
          <w:sz w:val="27"/>
          <w:szCs w:val="27"/>
          <w:lang w:val="es-CO"/>
        </w:rPr>
        <w:t>y</w:t>
      </w:r>
      <w:r w:rsidR="003C6C5D" w:rsidRPr="00D06CB8">
        <w:rPr>
          <w:rFonts w:ascii="Bookman Old Style" w:eastAsia="Bookman Old Style" w:hAnsi="Bookman Old Style" w:cs="Bookman Old Style"/>
          <w:smallCaps/>
          <w:sz w:val="27"/>
          <w:szCs w:val="27"/>
          <w:lang w:val="es-CO"/>
        </w:rPr>
        <w:t xml:space="preserve"> Édgar Triana</w:t>
      </w:r>
      <w:r w:rsidR="003C6C5D" w:rsidRPr="00D06CB8">
        <w:rPr>
          <w:rFonts w:ascii="Bookman Old Style" w:eastAsia="Bookman Old Style" w:hAnsi="Bookman Old Style" w:cs="Bookman Old Style"/>
          <w:sz w:val="27"/>
          <w:szCs w:val="27"/>
          <w:lang w:val="es-CO"/>
        </w:rPr>
        <w:t xml:space="preserve"> se adecúa al artículo 263 Cp porque la prueba indica que </w:t>
      </w:r>
      <w:r w:rsidR="00B01C8A" w:rsidRPr="00D06CB8">
        <w:rPr>
          <w:rFonts w:ascii="Bookman Old Style" w:eastAsia="Bookman Old Style" w:hAnsi="Bookman Old Style" w:cs="Bookman Old Style"/>
          <w:sz w:val="27"/>
          <w:szCs w:val="27"/>
          <w:lang w:val="es-CO"/>
        </w:rPr>
        <w:t xml:space="preserve">invadieron </w:t>
      </w:r>
      <w:r w:rsidR="003C6C5D" w:rsidRPr="00D06CB8">
        <w:rPr>
          <w:rFonts w:ascii="Bookman Old Style" w:eastAsia="Bookman Old Style" w:hAnsi="Bookman Old Style" w:cs="Bookman Old Style"/>
          <w:sz w:val="27"/>
          <w:szCs w:val="27"/>
          <w:lang w:val="es-CO"/>
        </w:rPr>
        <w:t xml:space="preserve">y </w:t>
      </w:r>
      <w:r w:rsidR="00B01C8A" w:rsidRPr="00D06CB8">
        <w:rPr>
          <w:rFonts w:ascii="Bookman Old Style" w:eastAsia="Bookman Old Style" w:hAnsi="Bookman Old Style" w:cs="Bookman Old Style"/>
          <w:sz w:val="27"/>
          <w:szCs w:val="27"/>
          <w:lang w:val="es-CO"/>
        </w:rPr>
        <w:t xml:space="preserve">obtuvieron un provecho al que no tenían derecho, porque </w:t>
      </w:r>
      <w:r w:rsidR="003C6C5D" w:rsidRPr="00D06CB8">
        <w:rPr>
          <w:rFonts w:ascii="Bookman Old Style" w:eastAsia="Bookman Old Style" w:hAnsi="Bookman Old Style" w:cs="Bookman Old Style"/>
          <w:sz w:val="27"/>
          <w:szCs w:val="27"/>
          <w:lang w:val="es-CO"/>
        </w:rPr>
        <w:t>explotaron un bien que pertenec</w:t>
      </w:r>
      <w:r w:rsidR="00B01C8A" w:rsidRPr="00D06CB8">
        <w:rPr>
          <w:rFonts w:ascii="Bookman Old Style" w:eastAsia="Bookman Old Style" w:hAnsi="Bookman Old Style" w:cs="Bookman Old Style"/>
          <w:sz w:val="27"/>
          <w:szCs w:val="27"/>
          <w:lang w:val="es-CO"/>
        </w:rPr>
        <w:t>ía</w:t>
      </w:r>
      <w:r w:rsidR="003C6C5D" w:rsidRPr="00D06CB8">
        <w:rPr>
          <w:rFonts w:ascii="Bookman Old Style" w:eastAsia="Bookman Old Style" w:hAnsi="Bookman Old Style" w:cs="Bookman Old Style"/>
          <w:sz w:val="27"/>
          <w:szCs w:val="27"/>
          <w:lang w:val="es-CO"/>
        </w:rPr>
        <w:t xml:space="preserve"> a </w:t>
      </w:r>
      <w:r w:rsidR="003C6C5D" w:rsidRPr="00D06CB8">
        <w:rPr>
          <w:rFonts w:ascii="Bookman Old Style" w:eastAsia="Calibri" w:hAnsi="Bookman Old Style"/>
          <w:sz w:val="27"/>
          <w:szCs w:val="27"/>
          <w:lang w:eastAsia="es-ES"/>
        </w:rPr>
        <w:t>Martha Lucía Montiel Morales.</w:t>
      </w:r>
      <w:r w:rsidR="00EB4CF7" w:rsidRPr="00D06CB8">
        <w:rPr>
          <w:rFonts w:ascii="Bookman Old Style" w:eastAsia="Calibri" w:hAnsi="Bookman Old Style"/>
          <w:sz w:val="27"/>
          <w:szCs w:val="27"/>
          <w:lang w:eastAsia="es-ES"/>
        </w:rPr>
        <w:t xml:space="preserve"> Eso es así, por las siguientes razones: </w:t>
      </w:r>
    </w:p>
    <w:p w14:paraId="46C63A23" w14:textId="77777777" w:rsidR="003C6C5D" w:rsidRPr="00D06CB8" w:rsidRDefault="003C6C5D" w:rsidP="008F1F87">
      <w:pPr>
        <w:pStyle w:val="Prrafodelista"/>
        <w:spacing w:after="0" w:line="360" w:lineRule="auto"/>
        <w:ind w:left="0" w:firstLine="567"/>
        <w:jc w:val="both"/>
        <w:rPr>
          <w:rFonts w:ascii="Bookman Old Style" w:eastAsia="Bookman Old Style" w:hAnsi="Bookman Old Style" w:cs="Bookman Old Style"/>
          <w:sz w:val="27"/>
          <w:szCs w:val="27"/>
          <w:lang w:val="es-CO"/>
        </w:rPr>
      </w:pPr>
    </w:p>
    <w:p w14:paraId="34F9EDB8" w14:textId="1A1450B9" w:rsidR="009842F0" w:rsidRPr="00D06CB8" w:rsidRDefault="00EB4CF7" w:rsidP="009842F0">
      <w:pPr>
        <w:pStyle w:val="Prrafodelista"/>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lastRenderedPageBreak/>
        <w:t xml:space="preserve">a. </w:t>
      </w:r>
      <w:r w:rsidR="003C6C5D" w:rsidRPr="00D06CB8">
        <w:rPr>
          <w:rFonts w:ascii="Bookman Old Style" w:eastAsia="Bookman Old Style" w:hAnsi="Bookman Old Style" w:cs="Bookman Old Style"/>
          <w:sz w:val="27"/>
          <w:szCs w:val="27"/>
          <w:lang w:val="es-CO"/>
        </w:rPr>
        <w:t xml:space="preserve">La ajenidad del predio no ofrece duda. La escritura pública de 1954, la adjudicación sucesoral de 2001, la diligencia de remate del 25 de mayo de 2012, la escritura 1778 de 2014, el certificado de libertad y tradición y el plano de la finca muestran </w:t>
      </w:r>
      <w:r w:rsidR="00B01C8A" w:rsidRPr="00D06CB8">
        <w:rPr>
          <w:rFonts w:ascii="Bookman Old Style" w:eastAsia="Bookman Old Style" w:hAnsi="Bookman Old Style" w:cs="Bookman Old Style"/>
          <w:sz w:val="27"/>
          <w:szCs w:val="27"/>
          <w:lang w:val="es-CO"/>
        </w:rPr>
        <w:t xml:space="preserve">la </w:t>
      </w:r>
      <w:r w:rsidR="003C6C5D" w:rsidRPr="00D06CB8">
        <w:rPr>
          <w:rFonts w:ascii="Bookman Old Style" w:eastAsia="Bookman Old Style" w:hAnsi="Bookman Old Style" w:cs="Bookman Old Style"/>
          <w:sz w:val="27"/>
          <w:szCs w:val="27"/>
          <w:lang w:val="es-CO"/>
        </w:rPr>
        <w:t>línea de dominio sobre “Las Mercedes”</w:t>
      </w:r>
      <w:r w:rsidR="00B01C8A" w:rsidRPr="00D06CB8">
        <w:rPr>
          <w:rFonts w:ascii="Bookman Old Style" w:eastAsia="Bookman Old Style" w:hAnsi="Bookman Old Style" w:cs="Bookman Old Style"/>
          <w:sz w:val="27"/>
          <w:szCs w:val="27"/>
          <w:lang w:val="es-CO"/>
        </w:rPr>
        <w:t>. Un bien</w:t>
      </w:r>
      <w:r w:rsidR="003C6C5D" w:rsidRPr="00D06CB8">
        <w:rPr>
          <w:rFonts w:ascii="Bookman Old Style" w:eastAsia="Bookman Old Style" w:hAnsi="Bookman Old Style" w:cs="Bookman Old Style"/>
          <w:sz w:val="27"/>
          <w:szCs w:val="27"/>
          <w:lang w:val="es-CO"/>
        </w:rPr>
        <w:t xml:space="preserve"> con una medida aproximada de 43 hectáreas y linderos claros e inalterados, en especial por la quebrada de Bajas y el río Cunday. </w:t>
      </w:r>
    </w:p>
    <w:p w14:paraId="4AE5CD64" w14:textId="5DE47666" w:rsidR="009842F0" w:rsidRPr="00D06CB8" w:rsidRDefault="009842F0" w:rsidP="009842F0">
      <w:pPr>
        <w:pStyle w:val="Prrafodelista"/>
        <w:spacing w:after="0" w:line="360" w:lineRule="auto"/>
        <w:ind w:left="0" w:firstLine="567"/>
        <w:jc w:val="both"/>
        <w:rPr>
          <w:rFonts w:ascii="Bookman Old Style" w:eastAsia="Bookman Old Style" w:hAnsi="Bookman Old Style" w:cs="Bookman Old Style"/>
          <w:sz w:val="27"/>
          <w:szCs w:val="27"/>
          <w:lang w:val="es-CO"/>
        </w:rPr>
      </w:pPr>
    </w:p>
    <w:p w14:paraId="26405B42" w14:textId="252B515B" w:rsidR="003C6C5D" w:rsidRPr="00D06CB8" w:rsidRDefault="003C6C5D" w:rsidP="009C5769">
      <w:pPr>
        <w:pStyle w:val="Prrafodelista"/>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Ese conjunto </w:t>
      </w:r>
      <w:r w:rsidR="00B01C8A" w:rsidRPr="00D06CB8">
        <w:rPr>
          <w:rFonts w:ascii="Bookman Old Style" w:eastAsia="Bookman Old Style" w:hAnsi="Bookman Old Style" w:cs="Bookman Old Style"/>
          <w:sz w:val="27"/>
          <w:szCs w:val="27"/>
          <w:lang w:val="es-CO"/>
        </w:rPr>
        <w:t xml:space="preserve">de documentos </w:t>
      </w:r>
      <w:r w:rsidRPr="00D06CB8">
        <w:rPr>
          <w:rFonts w:ascii="Bookman Old Style" w:eastAsia="Bookman Old Style" w:hAnsi="Bookman Old Style" w:cs="Bookman Old Style"/>
          <w:sz w:val="27"/>
          <w:szCs w:val="27"/>
          <w:lang w:val="es-CO"/>
        </w:rPr>
        <w:t>excluye que alguna empresa del sector energético</w:t>
      </w:r>
      <w:r w:rsidRPr="00D06CB8">
        <w:rPr>
          <w:rStyle w:val="Refdenotaalpie"/>
          <w:rFonts w:ascii="Bookman Old Style" w:eastAsia="Bookman Old Style" w:hAnsi="Bookman Old Style" w:cs="Bookman Old Style"/>
          <w:sz w:val="27"/>
          <w:szCs w:val="27"/>
        </w:rPr>
        <w:footnoteReference w:id="21"/>
      </w:r>
      <w:r w:rsidRPr="00D06CB8">
        <w:rPr>
          <w:rFonts w:ascii="Bookman Old Style" w:eastAsia="Bookman Old Style" w:hAnsi="Bookman Old Style" w:cs="Bookman Old Style"/>
          <w:sz w:val="27"/>
          <w:szCs w:val="27"/>
          <w:lang w:val="es-CO"/>
        </w:rPr>
        <w:t xml:space="preserve"> figure como propietaria, colindante o titular de derecho real sobre él. Sobre esa base, la Sala tiene por </w:t>
      </w:r>
      <w:r w:rsidR="00F53897" w:rsidRPr="00D06CB8">
        <w:rPr>
          <w:rFonts w:ascii="Bookman Old Style" w:eastAsia="Bookman Old Style" w:hAnsi="Bookman Old Style" w:cs="Bookman Old Style"/>
          <w:sz w:val="27"/>
          <w:szCs w:val="27"/>
          <w:lang w:val="es-CO"/>
        </w:rPr>
        <w:t xml:space="preserve">acreditado </w:t>
      </w:r>
      <w:r w:rsidRPr="00D06CB8">
        <w:rPr>
          <w:rFonts w:ascii="Bookman Old Style" w:eastAsia="Bookman Old Style" w:hAnsi="Bookman Old Style" w:cs="Bookman Old Style"/>
          <w:sz w:val="27"/>
          <w:szCs w:val="27"/>
          <w:lang w:val="es-CO"/>
        </w:rPr>
        <w:t>que las franjas ocupadas integran “Las Mercedes” y que</w:t>
      </w:r>
      <w:r w:rsidR="00B01C8A" w:rsidRPr="00D06CB8">
        <w:rPr>
          <w:rFonts w:ascii="Bookman Old Style" w:eastAsia="Bookman Old Style" w:hAnsi="Bookman Old Style" w:cs="Bookman Old Style"/>
          <w:sz w:val="27"/>
          <w:szCs w:val="27"/>
          <w:lang w:val="es-CO"/>
        </w:rPr>
        <w:t>, en la cadena de tradición,</w:t>
      </w:r>
      <w:r w:rsidRPr="00D06CB8">
        <w:rPr>
          <w:rFonts w:ascii="Bookman Old Style" w:eastAsia="Bookman Old Style" w:hAnsi="Bookman Old Style" w:cs="Bookman Old Style"/>
          <w:sz w:val="27"/>
          <w:szCs w:val="27"/>
          <w:lang w:val="es-CO"/>
        </w:rPr>
        <w:t xml:space="preserve"> los procesados no ostentan derecho alguno sobre ellas.</w:t>
      </w:r>
    </w:p>
    <w:p w14:paraId="0DF9A854" w14:textId="77777777" w:rsidR="003C6C5D" w:rsidRPr="00D06CB8" w:rsidRDefault="003C6C5D" w:rsidP="009C5769">
      <w:pPr>
        <w:spacing w:after="0" w:line="360" w:lineRule="auto"/>
        <w:ind w:firstLine="567"/>
        <w:jc w:val="both"/>
        <w:rPr>
          <w:rFonts w:ascii="Bookman Old Style" w:eastAsia="Bookman Old Style" w:hAnsi="Bookman Old Style" w:cs="Bookman Old Style"/>
          <w:sz w:val="27"/>
          <w:szCs w:val="27"/>
          <w:lang w:val="es-CO"/>
        </w:rPr>
      </w:pPr>
    </w:p>
    <w:p w14:paraId="78CBC5B7" w14:textId="4C218B5D" w:rsidR="009C5769" w:rsidRPr="00D06CB8" w:rsidRDefault="009C5769" w:rsidP="0060500E">
      <w:pPr>
        <w:pStyle w:val="Prrafodelista"/>
        <w:numPr>
          <w:ilvl w:val="0"/>
          <w:numId w:val="25"/>
        </w:numPr>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La prueba acreditó la ocupación material del predio. Martha Lucía Montiel Morales coincidió con la prueba documental sobre la adquisición del inmueble y sobre su posterior ocupación.</w:t>
      </w:r>
    </w:p>
    <w:p w14:paraId="51E6529B" w14:textId="77777777" w:rsidR="009C5769" w:rsidRPr="00D06CB8" w:rsidRDefault="009C5769" w:rsidP="009C5769">
      <w:pPr>
        <w:spacing w:after="0" w:line="360" w:lineRule="auto"/>
        <w:ind w:firstLine="567"/>
        <w:jc w:val="both"/>
        <w:rPr>
          <w:rFonts w:ascii="Bookman Old Style" w:eastAsia="Bookman Old Style" w:hAnsi="Bookman Old Style" w:cs="Bookman Old Style"/>
          <w:sz w:val="27"/>
          <w:szCs w:val="27"/>
          <w:lang w:val="es-CO"/>
        </w:rPr>
      </w:pPr>
    </w:p>
    <w:p w14:paraId="3C6D05DA" w14:textId="4362FD91" w:rsidR="009C5769" w:rsidRPr="00D06CB8" w:rsidRDefault="009C5769" w:rsidP="009C5769">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José Yesid Montiel Morales y Juan Carlos Llanos Culma, administradores de la finca en distintos periodos, ubicaron la invasión antes de enero de 2014. Aunque variaron en la precisión de las fechas, ambos coincidieron en lo esencial: durante su administración los acusados ya cercaban, cultivaban y explotaban parte de “Las Mercedes”.</w:t>
      </w:r>
    </w:p>
    <w:p w14:paraId="58283938" w14:textId="2BD25DBD" w:rsidR="003C6C5D" w:rsidRPr="00D06CB8" w:rsidRDefault="003C6C5D" w:rsidP="6F994DCF">
      <w:pPr>
        <w:spacing w:after="0" w:line="360" w:lineRule="auto"/>
        <w:ind w:firstLine="567"/>
        <w:jc w:val="both"/>
        <w:rPr>
          <w:rFonts w:ascii="Bookman Old Style" w:eastAsia="Bookman Old Style" w:hAnsi="Bookman Old Style" w:cs="Bookman Old Style"/>
          <w:sz w:val="27"/>
          <w:szCs w:val="27"/>
          <w:lang w:val="es-CO"/>
        </w:rPr>
      </w:pPr>
    </w:p>
    <w:p w14:paraId="5AAF2D78" w14:textId="4B453207" w:rsidR="009842F0" w:rsidRPr="00D06CB8" w:rsidRDefault="003C6C5D" w:rsidP="0060500E">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lastRenderedPageBreak/>
        <w:t>La diligencia de entrega material del 31 de enero de 2014 aporta una corroboración independiente y especialmente fuerte</w:t>
      </w:r>
      <w:r w:rsidR="00684E14" w:rsidRPr="00D06CB8">
        <w:rPr>
          <w:rFonts w:ascii="Bookman Old Style" w:eastAsia="Bookman Old Style" w:hAnsi="Bookman Old Style" w:cs="Bookman Old Style"/>
          <w:sz w:val="27"/>
          <w:szCs w:val="27"/>
          <w:lang w:val="es-CO"/>
        </w:rPr>
        <w:t xml:space="preserve"> de la ocupación material</w:t>
      </w:r>
      <w:r w:rsidRPr="00D06CB8">
        <w:rPr>
          <w:rFonts w:ascii="Bookman Old Style" w:eastAsia="Bookman Old Style" w:hAnsi="Bookman Old Style" w:cs="Bookman Old Style"/>
          <w:sz w:val="27"/>
          <w:szCs w:val="27"/>
          <w:lang w:val="es-CO"/>
        </w:rPr>
        <w:t>. En esa actuación, el Juzgado Civil de Purificación recorrió el inmueble, verificó sus linderos y encontró ganado, un encierro con corral en guadua y una zona sembrada con colinos</w:t>
      </w:r>
      <w:r w:rsidR="00684E14" w:rsidRPr="00D06CB8">
        <w:rPr>
          <w:rFonts w:ascii="Bookman Old Style" w:eastAsia="Bookman Old Style" w:hAnsi="Bookman Old Style" w:cs="Bookman Old Style"/>
          <w:sz w:val="27"/>
          <w:szCs w:val="27"/>
          <w:lang w:val="es-CO"/>
        </w:rPr>
        <w:t xml:space="preserve"> dentro del predio</w:t>
      </w:r>
      <w:r w:rsidRPr="00D06CB8">
        <w:rPr>
          <w:rFonts w:ascii="Bookman Old Style" w:eastAsia="Bookman Old Style" w:hAnsi="Bookman Old Style" w:cs="Bookman Old Style"/>
          <w:sz w:val="27"/>
          <w:szCs w:val="27"/>
          <w:lang w:val="es-CO"/>
        </w:rPr>
        <w:t xml:space="preserve">. </w:t>
      </w:r>
    </w:p>
    <w:p w14:paraId="115D4EF3" w14:textId="77777777" w:rsidR="009842F0" w:rsidRPr="00D06CB8" w:rsidRDefault="009842F0" w:rsidP="009842F0">
      <w:pPr>
        <w:spacing w:after="0" w:line="360" w:lineRule="auto"/>
        <w:jc w:val="both"/>
        <w:rPr>
          <w:rFonts w:ascii="Bookman Old Style" w:eastAsia="Bookman Old Style" w:hAnsi="Bookman Old Style" w:cs="Bookman Old Style"/>
          <w:sz w:val="27"/>
          <w:szCs w:val="27"/>
          <w:lang w:val="es-CO"/>
        </w:rPr>
      </w:pPr>
    </w:p>
    <w:p w14:paraId="24F2799F" w14:textId="77777777" w:rsidR="009842F0" w:rsidRPr="00D06CB8" w:rsidRDefault="003C6C5D" w:rsidP="009842F0">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Por eso, el acta no solo acredita que para esa fecha ya existía ocupación material dentro de “Las Mercedes”. También descarta que el litigio se agote en una discusión abstracta sobre linderos, pues la invasión ya aparecía exteriorizada en cercas, semovientes y cultivos. </w:t>
      </w:r>
    </w:p>
    <w:p w14:paraId="314E93FF" w14:textId="77777777" w:rsidR="009842F0" w:rsidRPr="00D06CB8" w:rsidRDefault="009842F0" w:rsidP="009842F0">
      <w:pPr>
        <w:spacing w:after="0" w:line="360" w:lineRule="auto"/>
        <w:ind w:firstLine="567"/>
        <w:jc w:val="both"/>
        <w:rPr>
          <w:rFonts w:ascii="Bookman Old Style" w:eastAsia="Bookman Old Style" w:hAnsi="Bookman Old Style" w:cs="Bookman Old Style"/>
          <w:sz w:val="27"/>
          <w:szCs w:val="27"/>
          <w:lang w:val="es-CO"/>
        </w:rPr>
      </w:pPr>
    </w:p>
    <w:p w14:paraId="1A27F0F0" w14:textId="7BDB780B" w:rsidR="003C6C5D" w:rsidRPr="00D06CB8" w:rsidRDefault="003C6C5D" w:rsidP="008F1F87">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Además, desde ese momento, los procesados conocieron formalmente que esas áreas correspondían al predio adjudicado a Martha Lucía Montiel Morales. La persistencia posterior en la </w:t>
      </w:r>
      <w:r w:rsidR="23DA9153" w:rsidRPr="00D06CB8">
        <w:rPr>
          <w:rFonts w:ascii="Bookman Old Style" w:eastAsia="Bookman Old Style" w:hAnsi="Bookman Old Style" w:cs="Bookman Old Style"/>
          <w:sz w:val="27"/>
          <w:szCs w:val="27"/>
          <w:lang w:val="es-CO"/>
        </w:rPr>
        <w:t>ocupación no</w:t>
      </w:r>
      <w:r w:rsidRPr="00D06CB8">
        <w:rPr>
          <w:rFonts w:ascii="Bookman Old Style" w:eastAsia="Bookman Old Style" w:hAnsi="Bookman Old Style" w:cs="Bookman Old Style"/>
          <w:sz w:val="27"/>
          <w:szCs w:val="27"/>
          <w:lang w:val="es-CO"/>
        </w:rPr>
        <w:t xml:space="preserve"> puede explicarse, entonces, por una duda seria sobre la titularidad, sino por el </w:t>
      </w:r>
      <w:r w:rsidR="00684E14" w:rsidRPr="00D06CB8">
        <w:rPr>
          <w:rFonts w:ascii="Bookman Old Style" w:eastAsia="Bookman Old Style" w:hAnsi="Bookman Old Style" w:cs="Bookman Old Style"/>
          <w:sz w:val="27"/>
          <w:szCs w:val="27"/>
          <w:lang w:val="es-CO"/>
        </w:rPr>
        <w:t xml:space="preserve">deliberado </w:t>
      </w:r>
      <w:r w:rsidRPr="00D06CB8">
        <w:rPr>
          <w:rFonts w:ascii="Bookman Old Style" w:eastAsia="Bookman Old Style" w:hAnsi="Bookman Old Style" w:cs="Bookman Old Style"/>
          <w:sz w:val="27"/>
          <w:szCs w:val="27"/>
          <w:lang w:val="es-CO"/>
        </w:rPr>
        <w:t>desconocimiento de un derecho que la autoridad judicial les puso de presente</w:t>
      </w:r>
      <w:r w:rsidR="00C33EA9" w:rsidRPr="00D06CB8">
        <w:rPr>
          <w:rFonts w:ascii="Bookman Old Style" w:eastAsia="Bookman Old Style" w:hAnsi="Bookman Old Style" w:cs="Bookman Old Style"/>
          <w:sz w:val="27"/>
          <w:szCs w:val="27"/>
          <w:lang w:val="es-CO"/>
        </w:rPr>
        <w:t xml:space="preserve"> y al que no presentaron opo</w:t>
      </w:r>
      <w:r w:rsidR="00684E14" w:rsidRPr="00D06CB8">
        <w:rPr>
          <w:rFonts w:ascii="Bookman Old Style" w:eastAsia="Bookman Old Style" w:hAnsi="Bookman Old Style" w:cs="Bookman Old Style"/>
          <w:sz w:val="27"/>
          <w:szCs w:val="27"/>
          <w:lang w:val="es-CO"/>
        </w:rPr>
        <w:t>s</w:t>
      </w:r>
      <w:r w:rsidR="00C33EA9" w:rsidRPr="00D06CB8">
        <w:rPr>
          <w:rFonts w:ascii="Bookman Old Style" w:eastAsia="Bookman Old Style" w:hAnsi="Bookman Old Style" w:cs="Bookman Old Style"/>
          <w:sz w:val="27"/>
          <w:szCs w:val="27"/>
          <w:lang w:val="es-CO"/>
        </w:rPr>
        <w:t>i</w:t>
      </w:r>
      <w:r w:rsidR="00684E14" w:rsidRPr="00D06CB8">
        <w:rPr>
          <w:rFonts w:ascii="Bookman Old Style" w:eastAsia="Bookman Old Style" w:hAnsi="Bookman Old Style" w:cs="Bookman Old Style"/>
          <w:sz w:val="27"/>
          <w:szCs w:val="27"/>
          <w:lang w:val="es-CO"/>
        </w:rPr>
        <w:t>ci</w:t>
      </w:r>
      <w:r w:rsidR="00C33EA9" w:rsidRPr="00D06CB8">
        <w:rPr>
          <w:rFonts w:ascii="Bookman Old Style" w:eastAsia="Bookman Old Style" w:hAnsi="Bookman Old Style" w:cs="Bookman Old Style"/>
          <w:sz w:val="27"/>
          <w:szCs w:val="27"/>
          <w:lang w:val="es-CO"/>
        </w:rPr>
        <w:t>ón</w:t>
      </w:r>
      <w:r w:rsidRPr="00D06CB8">
        <w:rPr>
          <w:rFonts w:ascii="Bookman Old Style" w:eastAsia="Bookman Old Style" w:hAnsi="Bookman Old Style" w:cs="Bookman Old Style"/>
          <w:sz w:val="27"/>
          <w:szCs w:val="27"/>
          <w:lang w:val="es-CO"/>
        </w:rPr>
        <w:t>.</w:t>
      </w:r>
    </w:p>
    <w:p w14:paraId="506D1277" w14:textId="77777777" w:rsidR="00CB222A" w:rsidRPr="00D06CB8" w:rsidRDefault="00CB222A" w:rsidP="008F1F87">
      <w:pPr>
        <w:spacing w:after="0" w:line="360" w:lineRule="auto"/>
        <w:ind w:firstLine="567"/>
        <w:jc w:val="both"/>
        <w:rPr>
          <w:rFonts w:ascii="Bookman Old Style" w:eastAsia="Bookman Old Style" w:hAnsi="Bookman Old Style" w:cs="Bookman Old Style"/>
          <w:sz w:val="27"/>
          <w:szCs w:val="27"/>
          <w:lang w:val="es-CO"/>
        </w:rPr>
      </w:pPr>
    </w:p>
    <w:p w14:paraId="36F831FB" w14:textId="77777777" w:rsidR="00CB222A" w:rsidRPr="00D06CB8" w:rsidRDefault="00CB222A" w:rsidP="00CB222A">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De ese conjunto probatorio surgió que la ocupación existía desde antes de octubre o noviembre de 2012 y permaneció, por lo menos, hasta la acusación del 25 de abril de 2018. Ese dato resultó relevante porque la invasión de tierras constituye una conducta permanente: basta demostrar que la ocupación ilegítima perduró mientras los invasores mantuvieron el aprovechamiento del bien.</w:t>
      </w:r>
    </w:p>
    <w:p w14:paraId="0952E7A1" w14:textId="2ED45826" w:rsidR="003C6C5D" w:rsidRPr="00D06CB8" w:rsidRDefault="003C6C5D" w:rsidP="6F994DCF">
      <w:pPr>
        <w:spacing w:after="0" w:line="360" w:lineRule="auto"/>
        <w:ind w:firstLine="567"/>
        <w:jc w:val="both"/>
        <w:rPr>
          <w:rFonts w:ascii="Bookman Old Style" w:eastAsia="Bookman Old Style" w:hAnsi="Bookman Old Style" w:cs="Bookman Old Style"/>
          <w:sz w:val="27"/>
          <w:szCs w:val="27"/>
          <w:lang w:val="es-CO"/>
        </w:rPr>
      </w:pPr>
    </w:p>
    <w:p w14:paraId="6BDF9AFA" w14:textId="03C486BE" w:rsidR="00CB222A" w:rsidRPr="00D06CB8" w:rsidRDefault="00EB4CF7" w:rsidP="00CB222A">
      <w:pPr>
        <w:pStyle w:val="Prrafodelista"/>
        <w:numPr>
          <w:ilvl w:val="0"/>
          <w:numId w:val="25"/>
        </w:numPr>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lastRenderedPageBreak/>
        <w:t xml:space="preserve">El provecho ilícito </w:t>
      </w:r>
      <w:r w:rsidR="003C6C5D" w:rsidRPr="00D06CB8">
        <w:rPr>
          <w:rFonts w:ascii="Bookman Old Style" w:eastAsia="Bookman Old Style" w:hAnsi="Bookman Old Style" w:cs="Bookman Old Style"/>
          <w:sz w:val="27"/>
          <w:szCs w:val="27"/>
          <w:lang w:val="es-CO"/>
        </w:rPr>
        <w:t xml:space="preserve">también </w:t>
      </w:r>
      <w:r w:rsidR="71E85612" w:rsidRPr="00D06CB8">
        <w:rPr>
          <w:rFonts w:ascii="Bookman Old Style" w:eastAsia="Bookman Old Style" w:hAnsi="Bookman Old Style" w:cs="Bookman Old Style"/>
          <w:sz w:val="27"/>
          <w:szCs w:val="27"/>
          <w:lang w:val="es-CO"/>
        </w:rPr>
        <w:t>quedó acreditado</w:t>
      </w:r>
      <w:r w:rsidR="003C6C5D" w:rsidRPr="00D06CB8">
        <w:rPr>
          <w:rFonts w:ascii="Bookman Old Style" w:eastAsia="Bookman Old Style" w:hAnsi="Bookman Old Style" w:cs="Bookman Old Style"/>
          <w:sz w:val="27"/>
          <w:szCs w:val="27"/>
          <w:lang w:val="es-CO"/>
        </w:rPr>
        <w:t xml:space="preserve">. La prueba no </w:t>
      </w:r>
      <w:r w:rsidR="009C5769" w:rsidRPr="00D06CB8">
        <w:rPr>
          <w:rFonts w:ascii="Bookman Old Style" w:eastAsia="Bookman Old Style" w:hAnsi="Bookman Old Style" w:cs="Bookman Old Style"/>
          <w:sz w:val="27"/>
          <w:szCs w:val="27"/>
          <w:lang w:val="es-CO"/>
        </w:rPr>
        <w:t xml:space="preserve">indicó </w:t>
      </w:r>
      <w:r w:rsidR="003C6C5D" w:rsidRPr="00D06CB8">
        <w:rPr>
          <w:rFonts w:ascii="Bookman Old Style" w:eastAsia="Bookman Old Style" w:hAnsi="Bookman Old Style" w:cs="Bookman Old Style"/>
          <w:sz w:val="27"/>
          <w:szCs w:val="27"/>
          <w:lang w:val="es-CO"/>
        </w:rPr>
        <w:t>un episodio aislado</w:t>
      </w:r>
      <w:r w:rsidRPr="00D06CB8">
        <w:rPr>
          <w:rFonts w:ascii="Bookman Old Style" w:eastAsia="Bookman Old Style" w:hAnsi="Bookman Old Style" w:cs="Bookman Old Style"/>
          <w:sz w:val="27"/>
          <w:szCs w:val="27"/>
          <w:lang w:val="es-CO"/>
        </w:rPr>
        <w:t>, sino</w:t>
      </w:r>
      <w:r w:rsidR="003C6C5D" w:rsidRPr="00D06CB8">
        <w:rPr>
          <w:rFonts w:ascii="Bookman Old Style" w:eastAsia="Bookman Old Style" w:hAnsi="Bookman Old Style" w:cs="Bookman Old Style"/>
          <w:sz w:val="27"/>
          <w:szCs w:val="27"/>
          <w:lang w:val="es-CO"/>
        </w:rPr>
        <w:t xml:space="preserve"> una explotación continua y económicamente aprovechada. La querellante denunció en 2013, amplió la información en 2015</w:t>
      </w:r>
      <w:r w:rsidR="70B92FBF" w:rsidRPr="00D06CB8">
        <w:rPr>
          <w:rFonts w:ascii="Bookman Old Style" w:eastAsia="Bookman Old Style" w:hAnsi="Bookman Old Style" w:cs="Bookman Old Style"/>
          <w:sz w:val="27"/>
          <w:szCs w:val="27"/>
          <w:lang w:val="es-CO"/>
        </w:rPr>
        <w:t xml:space="preserve"> y</w:t>
      </w:r>
      <w:r w:rsidR="003C6C5D" w:rsidRPr="00D06CB8">
        <w:rPr>
          <w:rFonts w:ascii="Bookman Old Style" w:eastAsia="Bookman Old Style" w:hAnsi="Bookman Old Style" w:cs="Bookman Old Style"/>
          <w:sz w:val="27"/>
          <w:szCs w:val="27"/>
          <w:lang w:val="es-CO"/>
        </w:rPr>
        <w:t xml:space="preserve"> reportó crecimiento de las áreas ocupadas</w:t>
      </w:r>
      <w:r w:rsidR="00CB222A" w:rsidRPr="00D06CB8">
        <w:rPr>
          <w:rFonts w:ascii="Bookman Old Style" w:eastAsia="Bookman Old Style" w:hAnsi="Bookman Old Style" w:cs="Bookman Old Style"/>
          <w:sz w:val="27"/>
          <w:szCs w:val="27"/>
          <w:lang w:val="es-CO"/>
        </w:rPr>
        <w:t>.</w:t>
      </w:r>
    </w:p>
    <w:p w14:paraId="741D9DAB" w14:textId="77777777" w:rsidR="00CB222A" w:rsidRPr="00D06CB8" w:rsidRDefault="00CB222A" w:rsidP="0060500E">
      <w:pPr>
        <w:pStyle w:val="Prrafodelista"/>
        <w:spacing w:after="0" w:line="360" w:lineRule="auto"/>
        <w:ind w:left="567" w:firstLine="567"/>
        <w:jc w:val="both"/>
        <w:rPr>
          <w:rFonts w:ascii="Bookman Old Style" w:eastAsia="Bookman Old Style" w:hAnsi="Bookman Old Style" w:cs="Bookman Old Style"/>
          <w:sz w:val="27"/>
          <w:szCs w:val="27"/>
          <w:lang w:val="es-CO"/>
        </w:rPr>
      </w:pPr>
    </w:p>
    <w:p w14:paraId="22EEC3BD" w14:textId="740F8F21" w:rsidR="00CB222A" w:rsidRPr="00D06CB8" w:rsidRDefault="00CB222A" w:rsidP="00CB222A">
      <w:pPr>
        <w:pStyle w:val="Prrafodelista"/>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L</w:t>
      </w:r>
      <w:r w:rsidR="003C6C5D" w:rsidRPr="00D06CB8">
        <w:rPr>
          <w:rFonts w:ascii="Bookman Old Style" w:eastAsia="Bookman Old Style" w:hAnsi="Bookman Old Style" w:cs="Bookman Old Style"/>
          <w:sz w:val="27"/>
          <w:szCs w:val="27"/>
          <w:lang w:val="es-CO"/>
        </w:rPr>
        <w:t>a prueba técnica confirmó que los acusados</w:t>
      </w:r>
      <w:r w:rsidRPr="00D06CB8">
        <w:rPr>
          <w:rFonts w:ascii="Bookman Old Style" w:eastAsia="Bookman Old Style" w:hAnsi="Bookman Old Style" w:cs="Bookman Old Style"/>
          <w:sz w:val="27"/>
          <w:szCs w:val="27"/>
          <w:lang w:val="es-CO"/>
        </w:rPr>
        <w:t xml:space="preserve"> explotaron agropecuariamente el inmueble: cercaron el terreno, levantaron corrales, introdujeron ganado y caballos, sembraron maíz, ahuyama y plátano, y abrieron salidas para sacar productos. La conducta no expresa, entonces, una mera presencia física sobre el inmueble, sino un aprovechamiento económico sostenido de porciones concretas de “Las Mercedes”.</w:t>
      </w:r>
    </w:p>
    <w:p w14:paraId="53E588F7" w14:textId="77777777" w:rsidR="000712BE" w:rsidRPr="00D06CB8" w:rsidRDefault="000712BE" w:rsidP="0060500E">
      <w:pPr>
        <w:spacing w:after="0" w:line="360" w:lineRule="auto"/>
        <w:ind w:firstLine="567"/>
        <w:jc w:val="both"/>
        <w:rPr>
          <w:rFonts w:ascii="Bookman Old Style" w:eastAsia="Bookman Old Style" w:hAnsi="Bookman Old Style" w:cs="Bookman Old Style"/>
          <w:sz w:val="27"/>
          <w:szCs w:val="27"/>
          <w:lang w:val="es-CO"/>
        </w:rPr>
      </w:pPr>
    </w:p>
    <w:p w14:paraId="2B54958A" w14:textId="6F306209" w:rsidR="00CB222A" w:rsidRPr="00D06CB8" w:rsidRDefault="003C6C5D" w:rsidP="0060500E">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El informe de campo del 31 de enero de 2018 ubicó cuatro áreas ocupadas dentro de “Las Mercedes”: una por </w:t>
      </w:r>
      <w:r w:rsidRPr="00D06CB8">
        <w:rPr>
          <w:rFonts w:ascii="Bookman Old Style" w:eastAsia="Bookman Old Style" w:hAnsi="Bookman Old Style" w:cs="Bookman Old Style"/>
          <w:smallCaps/>
          <w:sz w:val="27"/>
          <w:szCs w:val="27"/>
          <w:lang w:val="es-CO"/>
        </w:rPr>
        <w:t>Peña Camacho</w:t>
      </w:r>
      <w:r w:rsidRPr="00D06CB8">
        <w:rPr>
          <w:rFonts w:ascii="Bookman Old Style" w:eastAsia="Bookman Old Style" w:hAnsi="Bookman Old Style" w:cs="Bookman Old Style"/>
          <w:sz w:val="27"/>
          <w:szCs w:val="27"/>
          <w:lang w:val="es-CO"/>
        </w:rPr>
        <w:t xml:space="preserve">, dos por </w:t>
      </w:r>
      <w:r w:rsidRPr="00D06CB8">
        <w:rPr>
          <w:rFonts w:ascii="Bookman Old Style" w:eastAsia="Bookman Old Style" w:hAnsi="Bookman Old Style" w:cs="Bookman Old Style"/>
          <w:smallCaps/>
          <w:sz w:val="27"/>
          <w:szCs w:val="27"/>
          <w:lang w:val="es-CO"/>
        </w:rPr>
        <w:t>Triana</w:t>
      </w:r>
      <w:r w:rsidRPr="00D06CB8">
        <w:rPr>
          <w:rFonts w:ascii="Bookman Old Style" w:eastAsia="Bookman Old Style" w:hAnsi="Bookman Old Style" w:cs="Bookman Old Style"/>
          <w:sz w:val="27"/>
          <w:szCs w:val="27"/>
          <w:lang w:val="es-CO"/>
        </w:rPr>
        <w:t xml:space="preserve"> y una por </w:t>
      </w:r>
      <w:r w:rsidRPr="00D06CB8">
        <w:rPr>
          <w:rFonts w:ascii="Bookman Old Style" w:eastAsia="Bookman Old Style" w:hAnsi="Bookman Old Style" w:cs="Bookman Old Style"/>
          <w:smallCaps/>
          <w:sz w:val="27"/>
          <w:szCs w:val="27"/>
          <w:lang w:val="es-CO"/>
        </w:rPr>
        <w:t>Loaiza Céspedes</w:t>
      </w:r>
      <w:r w:rsidRPr="00D06CB8">
        <w:rPr>
          <w:rFonts w:ascii="Bookman Old Style" w:eastAsia="Bookman Old Style" w:hAnsi="Bookman Old Style" w:cs="Bookman Old Style"/>
          <w:sz w:val="27"/>
          <w:szCs w:val="27"/>
          <w:lang w:val="es-CO"/>
        </w:rPr>
        <w:t xml:space="preserve">. A su vez, el dictamen técnico del proceso policivo confirmó cercos, cultivos y accesos abiertos dentro del predio y, además, descartó que EPSA figurara en las escrituras como colindante, propietaria o titular de derecho alguno sobre la finca. </w:t>
      </w:r>
    </w:p>
    <w:p w14:paraId="4FBD4D6F" w14:textId="77777777" w:rsidR="003C6C5D" w:rsidRPr="00D06CB8" w:rsidRDefault="003C6C5D" w:rsidP="0060500E">
      <w:pPr>
        <w:spacing w:after="0" w:line="360" w:lineRule="auto"/>
        <w:jc w:val="both"/>
        <w:rPr>
          <w:rFonts w:ascii="Bookman Old Style" w:eastAsia="Bookman Old Style" w:hAnsi="Bookman Old Style" w:cs="Bookman Old Style"/>
          <w:sz w:val="27"/>
          <w:szCs w:val="27"/>
          <w:lang w:val="es-CO"/>
        </w:rPr>
      </w:pPr>
    </w:p>
    <w:p w14:paraId="0FF1DE56" w14:textId="148188C8" w:rsidR="000712BE" w:rsidRPr="00D06CB8" w:rsidRDefault="003C6C5D" w:rsidP="0060500E">
      <w:pPr>
        <w:pStyle w:val="Prrafodelista"/>
        <w:numPr>
          <w:ilvl w:val="0"/>
          <w:numId w:val="25"/>
        </w:numPr>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La modalidad de la invasión también aparece acreditad</w:t>
      </w:r>
      <w:r w:rsidR="00EB4CF7" w:rsidRPr="00D06CB8">
        <w:rPr>
          <w:rFonts w:ascii="Bookman Old Style" w:eastAsia="Bookman Old Style" w:hAnsi="Bookman Old Style" w:cs="Bookman Old Style"/>
          <w:sz w:val="27"/>
          <w:szCs w:val="27"/>
          <w:lang w:val="es-CO"/>
        </w:rPr>
        <w:t>a</w:t>
      </w:r>
      <w:r w:rsidRPr="00D06CB8">
        <w:rPr>
          <w:rFonts w:ascii="Bookman Old Style" w:eastAsia="Bookman Old Style" w:hAnsi="Bookman Old Style" w:cs="Bookman Old Style"/>
          <w:sz w:val="27"/>
          <w:szCs w:val="27"/>
          <w:lang w:val="es-CO"/>
        </w:rPr>
        <w:t xml:space="preserve">. La ocupación resulta arbitraria porque nace del mero querer de los procesados y se mantiene sin consentimiento de la propietaria ni de sus administradores. Resulta también violenta porque </w:t>
      </w:r>
      <w:r w:rsidR="00CF23FE" w:rsidRPr="00D06CB8">
        <w:rPr>
          <w:rFonts w:ascii="Bookman Old Style" w:eastAsia="Bookman Old Style" w:hAnsi="Bookman Old Style" w:cs="Bookman Old Style"/>
          <w:sz w:val="27"/>
          <w:szCs w:val="27"/>
        </w:rPr>
        <w:t>los acusados no solo permanecieron en el predio, sino que vencieron la oposición de las personas que intentaron recuperarlo.</w:t>
      </w:r>
    </w:p>
    <w:p w14:paraId="46BAB027" w14:textId="77777777" w:rsidR="000712BE" w:rsidRPr="00D06CB8" w:rsidRDefault="000712BE" w:rsidP="000712BE">
      <w:pPr>
        <w:pStyle w:val="Prrafodelista"/>
        <w:spacing w:after="0" w:line="360" w:lineRule="auto"/>
        <w:ind w:left="567"/>
        <w:jc w:val="both"/>
        <w:rPr>
          <w:rFonts w:ascii="Bookman Old Style" w:eastAsia="Bookman Old Style" w:hAnsi="Bookman Old Style" w:cs="Bookman Old Style"/>
          <w:sz w:val="27"/>
          <w:szCs w:val="27"/>
          <w:lang w:val="es-CO"/>
        </w:rPr>
      </w:pPr>
    </w:p>
    <w:p w14:paraId="042A6034" w14:textId="3A17AEDD" w:rsidR="000712BE" w:rsidRPr="00D06CB8" w:rsidRDefault="003C6C5D" w:rsidP="00CB222A">
      <w:pPr>
        <w:pStyle w:val="Prrafodelista"/>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lastRenderedPageBreak/>
        <w:t>Así ocurr</w:t>
      </w:r>
      <w:r w:rsidR="72411070" w:rsidRPr="00D06CB8">
        <w:rPr>
          <w:rFonts w:ascii="Bookman Old Style" w:eastAsia="Bookman Old Style" w:hAnsi="Bookman Old Style" w:cs="Bookman Old Style"/>
          <w:sz w:val="27"/>
          <w:szCs w:val="27"/>
          <w:lang w:val="es-CO"/>
        </w:rPr>
        <w:t>ió</w:t>
      </w:r>
      <w:r w:rsidRPr="00D06CB8">
        <w:rPr>
          <w:rFonts w:ascii="Bookman Old Style" w:eastAsia="Bookman Old Style" w:hAnsi="Bookman Old Style" w:cs="Bookman Old Style"/>
          <w:sz w:val="27"/>
          <w:szCs w:val="27"/>
          <w:lang w:val="es-CO"/>
        </w:rPr>
        <w:t xml:space="preserve"> cuando José Yesid Montiel Morales les exig</w:t>
      </w:r>
      <w:r w:rsidR="4E13F9EB" w:rsidRPr="00D06CB8">
        <w:rPr>
          <w:rFonts w:ascii="Bookman Old Style" w:eastAsia="Bookman Old Style" w:hAnsi="Bookman Old Style" w:cs="Bookman Old Style"/>
          <w:sz w:val="27"/>
          <w:szCs w:val="27"/>
          <w:lang w:val="es-CO"/>
        </w:rPr>
        <w:t>ió</w:t>
      </w:r>
      <w:r w:rsidRPr="00D06CB8">
        <w:rPr>
          <w:rFonts w:ascii="Bookman Old Style" w:eastAsia="Bookman Old Style" w:hAnsi="Bookman Old Style" w:cs="Bookman Old Style"/>
          <w:sz w:val="27"/>
          <w:szCs w:val="27"/>
          <w:lang w:val="es-CO"/>
        </w:rPr>
        <w:t xml:space="preserve"> que </w:t>
      </w:r>
      <w:r w:rsidR="006C1597" w:rsidRPr="00D06CB8">
        <w:rPr>
          <w:rFonts w:ascii="Bookman Old Style" w:eastAsia="Bookman Old Style" w:hAnsi="Bookman Old Style" w:cs="Bookman Old Style"/>
          <w:sz w:val="27"/>
          <w:szCs w:val="27"/>
          <w:lang w:val="es-CO"/>
        </w:rPr>
        <w:t xml:space="preserve">devolvieran los terrenos y exhibieran documentos que justificaran su permanencia; y volvió a ocurrir en agosto de 2013, cuando </w:t>
      </w:r>
      <w:r w:rsidR="006C1597" w:rsidRPr="00D06CB8">
        <w:rPr>
          <w:rFonts w:ascii="Bookman Old Style" w:eastAsia="Bookman Old Style" w:hAnsi="Bookman Old Style" w:cs="Bookman Old Style"/>
          <w:smallCaps/>
          <w:sz w:val="27"/>
          <w:szCs w:val="27"/>
          <w:lang w:val="es-CO"/>
        </w:rPr>
        <w:t xml:space="preserve">Luis Enrique Peña Camacho </w:t>
      </w:r>
      <w:r w:rsidR="006C1597" w:rsidRPr="00D06CB8">
        <w:rPr>
          <w:rFonts w:ascii="Bookman Old Style" w:eastAsia="Bookman Old Style" w:hAnsi="Bookman Old Style" w:cs="Bookman Old Style"/>
          <w:sz w:val="27"/>
          <w:szCs w:val="27"/>
          <w:lang w:val="es-CO"/>
        </w:rPr>
        <w:t>y</w:t>
      </w:r>
      <w:r w:rsidR="006C1597" w:rsidRPr="00D06CB8">
        <w:rPr>
          <w:rFonts w:ascii="Bookman Old Style" w:eastAsia="Bookman Old Style" w:hAnsi="Bookman Old Style" w:cs="Bookman Old Style"/>
          <w:smallCaps/>
          <w:sz w:val="27"/>
          <w:szCs w:val="27"/>
          <w:lang w:val="es-CO"/>
        </w:rPr>
        <w:t xml:space="preserve"> Armando Loaiza Céspedes</w:t>
      </w:r>
      <w:r w:rsidR="006C1597" w:rsidRPr="00D06CB8">
        <w:rPr>
          <w:rFonts w:ascii="Bookman Old Style" w:eastAsia="Bookman Old Style" w:hAnsi="Bookman Old Style" w:cs="Bookman Old Style"/>
          <w:sz w:val="27"/>
          <w:szCs w:val="27"/>
          <w:lang w:val="es-CO"/>
        </w:rPr>
        <w:t xml:space="preserve"> lo amenazaron con una escopeta y le advirtieron que lo matarían si no abandonaba</w:t>
      </w:r>
      <w:r w:rsidRPr="00D06CB8">
        <w:rPr>
          <w:rFonts w:ascii="Bookman Old Style" w:eastAsia="Bookman Old Style" w:hAnsi="Bookman Old Style" w:cs="Bookman Old Style"/>
          <w:sz w:val="27"/>
          <w:szCs w:val="27"/>
          <w:lang w:val="es-CO"/>
        </w:rPr>
        <w:t xml:space="preserve"> la región. En la misma línea, Martha Lucía Montiel Morales y Juan Carlos Llanos Culma describ</w:t>
      </w:r>
      <w:r w:rsidR="56F5239D" w:rsidRPr="00D06CB8">
        <w:rPr>
          <w:rFonts w:ascii="Bookman Old Style" w:eastAsia="Bookman Old Style" w:hAnsi="Bookman Old Style" w:cs="Bookman Old Style"/>
          <w:sz w:val="27"/>
          <w:szCs w:val="27"/>
          <w:lang w:val="es-CO"/>
        </w:rPr>
        <w:t>ieron</w:t>
      </w:r>
      <w:r w:rsidRPr="00D06CB8">
        <w:rPr>
          <w:rFonts w:ascii="Bookman Old Style" w:eastAsia="Bookman Old Style" w:hAnsi="Bookman Old Style" w:cs="Bookman Old Style"/>
          <w:sz w:val="27"/>
          <w:szCs w:val="27"/>
          <w:lang w:val="es-CO"/>
        </w:rPr>
        <w:t xml:space="preserve"> amenazas e intimidaciones contra trabajadores y administradores de la finca. </w:t>
      </w:r>
    </w:p>
    <w:p w14:paraId="27E4C453" w14:textId="77777777" w:rsidR="003C6C5D" w:rsidRPr="00D06CB8" w:rsidRDefault="003C6C5D" w:rsidP="0060500E">
      <w:pPr>
        <w:spacing w:after="0" w:line="360" w:lineRule="auto"/>
        <w:ind w:firstLine="567"/>
        <w:jc w:val="both"/>
        <w:rPr>
          <w:rFonts w:ascii="Bookman Old Style" w:eastAsia="Bookman Old Style" w:hAnsi="Bookman Old Style" w:cs="Bookman Old Style"/>
          <w:sz w:val="27"/>
          <w:szCs w:val="27"/>
          <w:lang w:val="es-CO"/>
        </w:rPr>
      </w:pPr>
    </w:p>
    <w:p w14:paraId="0C6C4E41" w14:textId="37F88F6B" w:rsidR="00CB222A" w:rsidRPr="00D06CB8" w:rsidRDefault="003C6C5D" w:rsidP="00CB222A">
      <w:pPr>
        <w:pStyle w:val="Prrafodelista"/>
        <w:numPr>
          <w:ilvl w:val="0"/>
          <w:numId w:val="25"/>
        </w:numPr>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La tipicidad subjetiva </w:t>
      </w:r>
      <w:r w:rsidR="00F914FD" w:rsidRPr="00D06CB8">
        <w:rPr>
          <w:rFonts w:ascii="Bookman Old Style" w:eastAsia="Bookman Old Style" w:hAnsi="Bookman Old Style" w:cs="Bookman Old Style"/>
          <w:sz w:val="27"/>
          <w:szCs w:val="27"/>
          <w:lang w:val="es-CO"/>
        </w:rPr>
        <w:t xml:space="preserve">también tiene respaldo probatorio. Quedó en evidencia que los acusados conocían la ajenidad del inmueble desde que iniciaron los actos de invasión y tuvieron la oportunidad de </w:t>
      </w:r>
      <w:r w:rsidR="00CB222A" w:rsidRPr="00D06CB8">
        <w:rPr>
          <w:rFonts w:ascii="Bookman Old Style" w:eastAsia="Bookman Old Style" w:hAnsi="Bookman Old Style" w:cs="Bookman Old Style"/>
          <w:sz w:val="27"/>
          <w:szCs w:val="27"/>
          <w:lang w:val="es-CO"/>
        </w:rPr>
        <w:t xml:space="preserve">actualizarla </w:t>
      </w:r>
      <w:r w:rsidR="00F914FD" w:rsidRPr="00D06CB8">
        <w:rPr>
          <w:rFonts w:ascii="Bookman Old Style" w:eastAsia="Bookman Old Style" w:hAnsi="Bookman Old Style" w:cs="Bookman Old Style"/>
          <w:sz w:val="27"/>
          <w:szCs w:val="27"/>
          <w:lang w:val="es-CO"/>
        </w:rPr>
        <w:t xml:space="preserve">en la diligencia de entrega. </w:t>
      </w:r>
      <w:r w:rsidR="00CB222A" w:rsidRPr="00D06CB8">
        <w:rPr>
          <w:rFonts w:ascii="Bookman Old Style" w:eastAsia="Bookman Old Style" w:hAnsi="Bookman Old Style" w:cs="Bookman Old Style"/>
          <w:sz w:val="27"/>
          <w:szCs w:val="27"/>
          <w:lang w:val="es-CO"/>
        </w:rPr>
        <w:t xml:space="preserve">Aun </w:t>
      </w:r>
      <w:r w:rsidR="00F914FD" w:rsidRPr="00D06CB8">
        <w:rPr>
          <w:rFonts w:ascii="Bookman Old Style" w:eastAsia="Bookman Old Style" w:hAnsi="Bookman Old Style" w:cs="Bookman Old Style"/>
          <w:sz w:val="27"/>
          <w:szCs w:val="27"/>
          <w:lang w:val="es-CO"/>
        </w:rPr>
        <w:t>así, quisieron realizar cada una de las conductas, hasta el punto de oponer su voluntad con violencia.</w:t>
      </w:r>
    </w:p>
    <w:p w14:paraId="17E19DF2" w14:textId="77777777" w:rsidR="00CB222A" w:rsidRPr="00D06CB8" w:rsidRDefault="00CB222A" w:rsidP="0060500E">
      <w:pPr>
        <w:spacing w:after="0" w:line="360" w:lineRule="auto"/>
        <w:ind w:firstLine="567"/>
        <w:jc w:val="both"/>
        <w:rPr>
          <w:rFonts w:ascii="Bookman Old Style" w:eastAsia="Bookman Old Style" w:hAnsi="Bookman Old Style" w:cs="Bookman Old Style"/>
          <w:sz w:val="27"/>
          <w:szCs w:val="27"/>
          <w:lang w:val="es-CO"/>
        </w:rPr>
      </w:pPr>
    </w:p>
    <w:p w14:paraId="5F6AE965" w14:textId="0335F370" w:rsidR="000712BE" w:rsidRPr="00D06CB8" w:rsidRDefault="00F914FD" w:rsidP="0060500E">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Como fue evidente, l</w:t>
      </w:r>
      <w:r w:rsidR="003C6C5D" w:rsidRPr="00D06CB8">
        <w:rPr>
          <w:rFonts w:ascii="Bookman Old Style" w:eastAsia="Bookman Old Style" w:hAnsi="Bookman Old Style" w:cs="Bookman Old Style"/>
          <w:sz w:val="27"/>
          <w:szCs w:val="27"/>
          <w:lang w:val="es-CO"/>
        </w:rPr>
        <w:t>os acusados nunca act</w:t>
      </w:r>
      <w:r w:rsidR="0055704E" w:rsidRPr="00D06CB8">
        <w:rPr>
          <w:rFonts w:ascii="Bookman Old Style" w:eastAsia="Bookman Old Style" w:hAnsi="Bookman Old Style" w:cs="Bookman Old Style"/>
          <w:sz w:val="27"/>
          <w:szCs w:val="27"/>
          <w:lang w:val="es-CO"/>
        </w:rPr>
        <w:t>u</w:t>
      </w:r>
      <w:r w:rsidR="003C6C5D" w:rsidRPr="00D06CB8">
        <w:rPr>
          <w:rFonts w:ascii="Bookman Old Style" w:eastAsia="Bookman Old Style" w:hAnsi="Bookman Old Style" w:cs="Bookman Old Style"/>
          <w:sz w:val="27"/>
          <w:szCs w:val="27"/>
          <w:lang w:val="es-CO"/>
        </w:rPr>
        <w:t>a</w:t>
      </w:r>
      <w:r w:rsidR="0055704E" w:rsidRPr="00D06CB8">
        <w:rPr>
          <w:rFonts w:ascii="Bookman Old Style" w:eastAsia="Bookman Old Style" w:hAnsi="Bookman Old Style" w:cs="Bookman Old Style"/>
          <w:sz w:val="27"/>
          <w:szCs w:val="27"/>
          <w:lang w:val="es-CO"/>
        </w:rPr>
        <w:t>ro</w:t>
      </w:r>
      <w:r w:rsidR="003C6C5D" w:rsidRPr="00D06CB8">
        <w:rPr>
          <w:rFonts w:ascii="Bookman Old Style" w:eastAsia="Bookman Old Style" w:hAnsi="Bookman Old Style" w:cs="Bookman Old Style"/>
          <w:sz w:val="27"/>
          <w:szCs w:val="27"/>
          <w:lang w:val="es-CO"/>
        </w:rPr>
        <w:t>n bajo la creencia de que ocupa</w:t>
      </w:r>
      <w:r w:rsidR="0055704E" w:rsidRPr="00D06CB8">
        <w:rPr>
          <w:rFonts w:ascii="Bookman Old Style" w:eastAsia="Bookman Old Style" w:hAnsi="Bookman Old Style" w:cs="Bookman Old Style"/>
          <w:sz w:val="27"/>
          <w:szCs w:val="27"/>
          <w:lang w:val="es-CO"/>
        </w:rPr>
        <w:t>ba</w:t>
      </w:r>
      <w:r w:rsidR="003C6C5D" w:rsidRPr="00D06CB8">
        <w:rPr>
          <w:rFonts w:ascii="Bookman Old Style" w:eastAsia="Bookman Old Style" w:hAnsi="Bookman Old Style" w:cs="Bookman Old Style"/>
          <w:sz w:val="27"/>
          <w:szCs w:val="27"/>
          <w:lang w:val="es-CO"/>
        </w:rPr>
        <w:t>n un terreno propio o amparado por un derecho legítimo. Por el contrario, siempre afirma</w:t>
      </w:r>
      <w:r w:rsidR="0055704E" w:rsidRPr="00D06CB8">
        <w:rPr>
          <w:rFonts w:ascii="Bookman Old Style" w:eastAsia="Bookman Old Style" w:hAnsi="Bookman Old Style" w:cs="Bookman Old Style"/>
          <w:sz w:val="27"/>
          <w:szCs w:val="27"/>
          <w:lang w:val="es-CO"/>
        </w:rPr>
        <w:t>ro</w:t>
      </w:r>
      <w:r w:rsidR="003C6C5D" w:rsidRPr="00D06CB8">
        <w:rPr>
          <w:rFonts w:ascii="Bookman Old Style" w:eastAsia="Bookman Old Style" w:hAnsi="Bookman Old Style" w:cs="Bookman Old Style"/>
          <w:sz w:val="27"/>
          <w:szCs w:val="27"/>
          <w:lang w:val="es-CO"/>
        </w:rPr>
        <w:t>n que esas áreas pertenec</w:t>
      </w:r>
      <w:r w:rsidR="0055704E" w:rsidRPr="00D06CB8">
        <w:rPr>
          <w:rFonts w:ascii="Bookman Old Style" w:eastAsia="Bookman Old Style" w:hAnsi="Bookman Old Style" w:cs="Bookman Old Style"/>
          <w:sz w:val="27"/>
          <w:szCs w:val="27"/>
          <w:lang w:val="es-CO"/>
        </w:rPr>
        <w:t>ía</w:t>
      </w:r>
      <w:r w:rsidR="003C6C5D" w:rsidRPr="00D06CB8">
        <w:rPr>
          <w:rFonts w:ascii="Bookman Old Style" w:eastAsia="Bookman Old Style" w:hAnsi="Bookman Old Style" w:cs="Bookman Old Style"/>
          <w:sz w:val="27"/>
          <w:szCs w:val="27"/>
          <w:lang w:val="es-CO"/>
        </w:rPr>
        <w:t>n a un tercero, al que identifica</w:t>
      </w:r>
      <w:r w:rsidR="0055704E" w:rsidRPr="00D06CB8">
        <w:rPr>
          <w:rFonts w:ascii="Bookman Old Style" w:eastAsia="Bookman Old Style" w:hAnsi="Bookman Old Style" w:cs="Bookman Old Style"/>
          <w:sz w:val="27"/>
          <w:szCs w:val="27"/>
          <w:lang w:val="es-CO"/>
        </w:rPr>
        <w:t>ro</w:t>
      </w:r>
      <w:r w:rsidR="003C6C5D" w:rsidRPr="00D06CB8">
        <w:rPr>
          <w:rFonts w:ascii="Bookman Old Style" w:eastAsia="Bookman Old Style" w:hAnsi="Bookman Old Style" w:cs="Bookman Old Style"/>
          <w:sz w:val="27"/>
          <w:szCs w:val="27"/>
          <w:lang w:val="es-CO"/>
        </w:rPr>
        <w:t xml:space="preserve">n como la represa o la empresa energética. Esa sola admisión descarta </w:t>
      </w:r>
      <w:r w:rsidRPr="00D06CB8">
        <w:rPr>
          <w:rFonts w:ascii="Bookman Old Style" w:eastAsia="Bookman Old Style" w:hAnsi="Bookman Old Style" w:cs="Bookman Old Style"/>
          <w:sz w:val="27"/>
          <w:szCs w:val="27"/>
          <w:lang w:val="es-CO"/>
        </w:rPr>
        <w:t xml:space="preserve">alguna concurrencia de </w:t>
      </w:r>
      <w:r w:rsidR="6F9C7D81" w:rsidRPr="00D06CB8">
        <w:rPr>
          <w:rFonts w:ascii="Bookman Old Style" w:eastAsia="Bookman Old Style" w:hAnsi="Bookman Old Style" w:cs="Bookman Old Style"/>
          <w:sz w:val="27"/>
          <w:szCs w:val="27"/>
          <w:lang w:val="es-CO"/>
        </w:rPr>
        <w:t>un error</w:t>
      </w:r>
      <w:r w:rsidR="003C6C5D" w:rsidRPr="00D06CB8">
        <w:rPr>
          <w:rFonts w:ascii="Bookman Old Style" w:eastAsia="Bookman Old Style" w:hAnsi="Bookman Old Style" w:cs="Bookman Old Style"/>
          <w:sz w:val="27"/>
          <w:szCs w:val="27"/>
          <w:lang w:val="es-CO"/>
        </w:rPr>
        <w:t xml:space="preserve"> sobre la ajenidad del bien. </w:t>
      </w:r>
      <w:r w:rsidR="0055704E" w:rsidRPr="00D06CB8">
        <w:rPr>
          <w:rFonts w:ascii="Bookman Old Style" w:eastAsia="Bookman Old Style" w:hAnsi="Bookman Old Style" w:cs="Bookman Old Style"/>
          <w:sz w:val="27"/>
          <w:szCs w:val="27"/>
          <w:lang w:val="es-CO"/>
        </w:rPr>
        <w:t>Además, el propio Juzgado Civil les comunicó directamente sobre la propiedad de la víctima y no presentaron oposición.</w:t>
      </w:r>
    </w:p>
    <w:p w14:paraId="25EC5D92" w14:textId="77777777" w:rsidR="003C6C5D" w:rsidRPr="00D06CB8" w:rsidRDefault="003C6C5D" w:rsidP="009842F0">
      <w:pPr>
        <w:spacing w:after="0" w:line="360" w:lineRule="auto"/>
        <w:ind w:firstLine="567"/>
        <w:jc w:val="both"/>
        <w:rPr>
          <w:rFonts w:ascii="Bookman Old Style" w:eastAsia="Bookman Old Style" w:hAnsi="Bookman Old Style" w:cs="Bookman Old Style"/>
          <w:sz w:val="27"/>
          <w:szCs w:val="27"/>
          <w:lang w:val="es-CO"/>
        </w:rPr>
      </w:pPr>
    </w:p>
    <w:p w14:paraId="4638E1C3" w14:textId="7D9BBA78" w:rsidR="003C6C5D" w:rsidRPr="00D06CB8" w:rsidRDefault="003C6C5D" w:rsidP="6F994DCF">
      <w:pPr>
        <w:pStyle w:val="Prrafodelista"/>
        <w:numPr>
          <w:ilvl w:val="0"/>
          <w:numId w:val="25"/>
        </w:numPr>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El hecho típico lesiona de manera real el bien jurídico protegido y no encuentra amparo en causa alguna de justificación. Los procesados </w:t>
      </w:r>
      <w:r w:rsidR="00550201" w:rsidRPr="00D06CB8">
        <w:rPr>
          <w:rFonts w:ascii="Bookman Old Style" w:eastAsia="Bookman Old Style" w:hAnsi="Bookman Old Style" w:cs="Bookman Old Style"/>
          <w:sz w:val="27"/>
          <w:szCs w:val="27"/>
          <w:lang w:val="es-CO"/>
        </w:rPr>
        <w:t xml:space="preserve">actuaron </w:t>
      </w:r>
      <w:r w:rsidRPr="00D06CB8">
        <w:rPr>
          <w:rFonts w:ascii="Bookman Old Style" w:eastAsia="Bookman Old Style" w:hAnsi="Bookman Old Style" w:cs="Bookman Old Style"/>
          <w:sz w:val="27"/>
          <w:szCs w:val="27"/>
          <w:lang w:val="es-CO"/>
        </w:rPr>
        <w:t xml:space="preserve">contra la voluntad de la propietaria, </w:t>
      </w:r>
      <w:r w:rsidR="00550201" w:rsidRPr="00D06CB8">
        <w:rPr>
          <w:rFonts w:ascii="Bookman Old Style" w:eastAsia="Bookman Old Style" w:hAnsi="Bookman Old Style" w:cs="Bookman Old Style"/>
          <w:sz w:val="27"/>
          <w:szCs w:val="27"/>
          <w:lang w:val="es-CO"/>
        </w:rPr>
        <w:t xml:space="preserve">desconocieron </w:t>
      </w:r>
      <w:r w:rsidRPr="00D06CB8">
        <w:rPr>
          <w:rFonts w:ascii="Bookman Old Style" w:eastAsia="Bookman Old Style" w:hAnsi="Bookman Old Style" w:cs="Bookman Old Style"/>
          <w:sz w:val="27"/>
          <w:szCs w:val="27"/>
          <w:lang w:val="es-CO"/>
        </w:rPr>
        <w:t xml:space="preserve">sus requerimientos, </w:t>
      </w:r>
      <w:r w:rsidR="00550201" w:rsidRPr="00D06CB8">
        <w:rPr>
          <w:rFonts w:ascii="Bookman Old Style" w:eastAsia="Bookman Old Style" w:hAnsi="Bookman Old Style" w:cs="Bookman Old Style"/>
          <w:sz w:val="27"/>
          <w:szCs w:val="27"/>
          <w:lang w:val="es-CO"/>
        </w:rPr>
        <w:t xml:space="preserve">persistieron </w:t>
      </w:r>
      <w:r w:rsidRPr="00D06CB8">
        <w:rPr>
          <w:rFonts w:ascii="Bookman Old Style" w:eastAsia="Bookman Old Style" w:hAnsi="Bookman Old Style" w:cs="Bookman Old Style"/>
          <w:sz w:val="27"/>
          <w:szCs w:val="27"/>
          <w:lang w:val="es-CO"/>
        </w:rPr>
        <w:t xml:space="preserve">en </w:t>
      </w:r>
      <w:r w:rsidRPr="00D06CB8">
        <w:rPr>
          <w:rFonts w:ascii="Bookman Old Style" w:eastAsia="Bookman Old Style" w:hAnsi="Bookman Old Style" w:cs="Bookman Old Style"/>
          <w:sz w:val="27"/>
          <w:szCs w:val="27"/>
          <w:lang w:val="es-CO"/>
        </w:rPr>
        <w:lastRenderedPageBreak/>
        <w:t xml:space="preserve">la ocupación pese a la diligencia de entrega y </w:t>
      </w:r>
      <w:r w:rsidR="00550201" w:rsidRPr="00D06CB8">
        <w:rPr>
          <w:rFonts w:ascii="Bookman Old Style" w:eastAsia="Bookman Old Style" w:hAnsi="Bookman Old Style" w:cs="Bookman Old Style"/>
          <w:sz w:val="27"/>
          <w:szCs w:val="27"/>
          <w:lang w:val="es-CO"/>
        </w:rPr>
        <w:t xml:space="preserve">continuaron </w:t>
      </w:r>
      <w:r w:rsidRPr="00D06CB8">
        <w:rPr>
          <w:rFonts w:ascii="Bookman Old Style" w:eastAsia="Bookman Old Style" w:hAnsi="Bookman Old Style" w:cs="Bookman Old Style"/>
          <w:sz w:val="27"/>
          <w:szCs w:val="27"/>
          <w:lang w:val="es-CO"/>
        </w:rPr>
        <w:t xml:space="preserve">la explotación aun después de las actuaciones policivas posteriores. </w:t>
      </w:r>
    </w:p>
    <w:p w14:paraId="3CF35C7B" w14:textId="13BAC143" w:rsidR="003C6C5D" w:rsidRPr="00D06CB8" w:rsidRDefault="003C6C5D" w:rsidP="6F994DCF">
      <w:pPr>
        <w:spacing w:after="0" w:line="360" w:lineRule="auto"/>
        <w:jc w:val="both"/>
        <w:rPr>
          <w:rFonts w:ascii="Bookman Old Style" w:eastAsia="Bookman Old Style" w:hAnsi="Bookman Old Style" w:cs="Bookman Old Style"/>
          <w:sz w:val="27"/>
          <w:szCs w:val="27"/>
          <w:lang w:val="es-CO"/>
        </w:rPr>
      </w:pPr>
    </w:p>
    <w:p w14:paraId="77CE6F0C" w14:textId="5645E713" w:rsidR="003C6C5D" w:rsidRPr="00D06CB8" w:rsidRDefault="003C6C5D" w:rsidP="6F994DCF">
      <w:pPr>
        <w:spacing w:after="0" w:line="360" w:lineRule="auto"/>
        <w:ind w:firstLine="708"/>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La conducta no puede reducirse a una simple discrepancia sobre linderos. Afect</w:t>
      </w:r>
      <w:r w:rsidR="00550201" w:rsidRPr="00D06CB8">
        <w:rPr>
          <w:rFonts w:ascii="Bookman Old Style" w:eastAsia="Bookman Old Style" w:hAnsi="Bookman Old Style" w:cs="Bookman Old Style"/>
          <w:sz w:val="27"/>
          <w:szCs w:val="27"/>
          <w:lang w:val="es-CO"/>
        </w:rPr>
        <w:t>ó</w:t>
      </w:r>
      <w:r w:rsidRPr="00D06CB8">
        <w:rPr>
          <w:rFonts w:ascii="Bookman Old Style" w:eastAsia="Bookman Old Style" w:hAnsi="Bookman Old Style" w:cs="Bookman Old Style"/>
          <w:sz w:val="27"/>
          <w:szCs w:val="27"/>
          <w:lang w:val="es-CO"/>
        </w:rPr>
        <w:t xml:space="preserve"> de forma directa el derecho de la titular sobre el inmueble, le impi</w:t>
      </w:r>
      <w:r w:rsidR="00550201" w:rsidRPr="00D06CB8">
        <w:rPr>
          <w:rFonts w:ascii="Bookman Old Style" w:eastAsia="Bookman Old Style" w:hAnsi="Bookman Old Style" w:cs="Bookman Old Style"/>
          <w:sz w:val="27"/>
          <w:szCs w:val="27"/>
          <w:lang w:val="es-CO"/>
        </w:rPr>
        <w:t>dió</w:t>
      </w:r>
      <w:r w:rsidRPr="00D06CB8">
        <w:rPr>
          <w:rFonts w:ascii="Bookman Old Style" w:eastAsia="Bookman Old Style" w:hAnsi="Bookman Old Style" w:cs="Bookman Old Style"/>
          <w:sz w:val="27"/>
          <w:szCs w:val="27"/>
          <w:lang w:val="es-CO"/>
        </w:rPr>
        <w:t xml:space="preserve"> ejercerlo con plenitud y consolid</w:t>
      </w:r>
      <w:r w:rsidR="00550201" w:rsidRPr="00D06CB8">
        <w:rPr>
          <w:rFonts w:ascii="Bookman Old Style" w:eastAsia="Bookman Old Style" w:hAnsi="Bookman Old Style" w:cs="Bookman Old Style"/>
          <w:sz w:val="27"/>
          <w:szCs w:val="27"/>
          <w:lang w:val="es-CO"/>
        </w:rPr>
        <w:t xml:space="preserve">ó </w:t>
      </w:r>
      <w:r w:rsidRPr="00D06CB8">
        <w:rPr>
          <w:rFonts w:ascii="Bookman Old Style" w:eastAsia="Bookman Old Style" w:hAnsi="Bookman Old Style" w:cs="Bookman Old Style"/>
          <w:sz w:val="27"/>
          <w:szCs w:val="27"/>
          <w:lang w:val="es-CO"/>
        </w:rPr>
        <w:t>una explotación material del predio incompatible con el ordenamiento. A ello se suma que la ocupación se ampl</w:t>
      </w:r>
      <w:r w:rsidR="00550201" w:rsidRPr="00D06CB8">
        <w:rPr>
          <w:rFonts w:ascii="Bookman Old Style" w:eastAsia="Bookman Old Style" w:hAnsi="Bookman Old Style" w:cs="Bookman Old Style"/>
          <w:sz w:val="27"/>
          <w:szCs w:val="27"/>
          <w:lang w:val="es-CO"/>
        </w:rPr>
        <w:t>ió</w:t>
      </w:r>
      <w:r w:rsidRPr="00D06CB8">
        <w:rPr>
          <w:rFonts w:ascii="Bookman Old Style" w:eastAsia="Bookman Old Style" w:hAnsi="Bookman Old Style" w:cs="Bookman Old Style"/>
          <w:sz w:val="27"/>
          <w:szCs w:val="27"/>
          <w:lang w:val="es-CO"/>
        </w:rPr>
        <w:t xml:space="preserve"> en el tiempo y </w:t>
      </w:r>
      <w:r w:rsidR="00550201" w:rsidRPr="00D06CB8">
        <w:rPr>
          <w:rFonts w:ascii="Bookman Old Style" w:eastAsia="Bookman Old Style" w:hAnsi="Bookman Old Style" w:cs="Bookman Old Style"/>
          <w:sz w:val="27"/>
          <w:szCs w:val="27"/>
          <w:lang w:val="es-CO"/>
        </w:rPr>
        <w:t xml:space="preserve">produjo </w:t>
      </w:r>
      <w:r w:rsidRPr="00D06CB8">
        <w:rPr>
          <w:rFonts w:ascii="Bookman Old Style" w:eastAsia="Bookman Old Style" w:hAnsi="Bookman Old Style" w:cs="Bookman Old Style"/>
          <w:sz w:val="27"/>
          <w:szCs w:val="27"/>
          <w:lang w:val="es-CO"/>
        </w:rPr>
        <w:t>incluso afectaciones ambientales dentro de la finca. Por eso, el hecho típico resulta también antijurídico.</w:t>
      </w:r>
    </w:p>
    <w:p w14:paraId="4587045D" w14:textId="77777777" w:rsidR="003C6C5D" w:rsidRPr="00D06CB8" w:rsidRDefault="003C6C5D" w:rsidP="009842F0">
      <w:pPr>
        <w:spacing w:after="0" w:line="360" w:lineRule="auto"/>
        <w:ind w:firstLine="567"/>
        <w:jc w:val="both"/>
        <w:rPr>
          <w:rFonts w:ascii="Bookman Old Style" w:eastAsia="Bookman Old Style" w:hAnsi="Bookman Old Style" w:cs="Bookman Old Style"/>
          <w:sz w:val="27"/>
          <w:szCs w:val="27"/>
          <w:lang w:val="es-CO"/>
        </w:rPr>
      </w:pPr>
    </w:p>
    <w:p w14:paraId="48B147B6" w14:textId="7601C9C7" w:rsidR="000712BE" w:rsidRPr="00D06CB8" w:rsidRDefault="003C6C5D" w:rsidP="0060500E">
      <w:pPr>
        <w:pStyle w:val="Prrafodelista"/>
        <w:numPr>
          <w:ilvl w:val="0"/>
          <w:numId w:val="25"/>
        </w:numPr>
        <w:spacing w:after="0" w:line="360" w:lineRule="auto"/>
        <w:ind w:left="0"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 xml:space="preserve"> La prueba permite atribuir el hecho a los procesados a título de culpabilidad. Ellos comprend</w:t>
      </w:r>
      <w:r w:rsidR="00550201" w:rsidRPr="00D06CB8">
        <w:rPr>
          <w:rFonts w:ascii="Bookman Old Style" w:eastAsia="Bookman Old Style" w:hAnsi="Bookman Old Style" w:cs="Bookman Old Style"/>
          <w:sz w:val="27"/>
          <w:szCs w:val="27"/>
          <w:lang w:val="es-CO"/>
        </w:rPr>
        <w:t>ieron</w:t>
      </w:r>
      <w:r w:rsidRPr="00D06CB8">
        <w:rPr>
          <w:rFonts w:ascii="Bookman Old Style" w:eastAsia="Bookman Old Style" w:hAnsi="Bookman Old Style" w:cs="Bookman Old Style"/>
          <w:sz w:val="27"/>
          <w:szCs w:val="27"/>
          <w:lang w:val="es-CO"/>
        </w:rPr>
        <w:t xml:space="preserve"> la situación fáctica en la que actúan, orienta</w:t>
      </w:r>
      <w:r w:rsidR="00550201" w:rsidRPr="00D06CB8">
        <w:rPr>
          <w:rFonts w:ascii="Bookman Old Style" w:eastAsia="Bookman Old Style" w:hAnsi="Bookman Old Style" w:cs="Bookman Old Style"/>
          <w:sz w:val="27"/>
          <w:szCs w:val="27"/>
          <w:lang w:val="es-CO"/>
        </w:rPr>
        <w:t>ro</w:t>
      </w:r>
      <w:r w:rsidRPr="00D06CB8">
        <w:rPr>
          <w:rFonts w:ascii="Bookman Old Style" w:eastAsia="Bookman Old Style" w:hAnsi="Bookman Old Style" w:cs="Bookman Old Style"/>
          <w:sz w:val="27"/>
          <w:szCs w:val="27"/>
          <w:lang w:val="es-CO"/>
        </w:rPr>
        <w:t>n su comportamiento a conservar el provecho derivado de la ocupación y persist</w:t>
      </w:r>
      <w:r w:rsidR="00550201" w:rsidRPr="00D06CB8">
        <w:rPr>
          <w:rFonts w:ascii="Bookman Old Style" w:eastAsia="Bookman Old Style" w:hAnsi="Bookman Old Style" w:cs="Bookman Old Style"/>
          <w:sz w:val="27"/>
          <w:szCs w:val="27"/>
          <w:lang w:val="es-CO"/>
        </w:rPr>
        <w:t>ieron</w:t>
      </w:r>
      <w:r w:rsidRPr="00D06CB8">
        <w:rPr>
          <w:rFonts w:ascii="Bookman Old Style" w:eastAsia="Bookman Old Style" w:hAnsi="Bookman Old Style" w:cs="Bookman Old Style"/>
          <w:sz w:val="27"/>
          <w:szCs w:val="27"/>
          <w:lang w:val="es-CO"/>
        </w:rPr>
        <w:t xml:space="preserve"> en ese propósito durante varios años. A más tardar</w:t>
      </w:r>
      <w:r w:rsidR="27BB7A4A" w:rsidRPr="00D06CB8">
        <w:rPr>
          <w:rFonts w:ascii="Bookman Old Style" w:eastAsia="Bookman Old Style" w:hAnsi="Bookman Old Style" w:cs="Bookman Old Style"/>
          <w:sz w:val="27"/>
          <w:szCs w:val="27"/>
          <w:lang w:val="es-CO"/>
        </w:rPr>
        <w:t xml:space="preserve">, </w:t>
      </w:r>
      <w:r w:rsidRPr="00D06CB8">
        <w:rPr>
          <w:rFonts w:ascii="Bookman Old Style" w:eastAsia="Bookman Old Style" w:hAnsi="Bookman Old Style" w:cs="Bookman Old Style"/>
          <w:sz w:val="27"/>
          <w:szCs w:val="27"/>
          <w:lang w:val="es-CO"/>
        </w:rPr>
        <w:t xml:space="preserve">desde la diligencia de entrega del 31 de enero de 2014 </w:t>
      </w:r>
      <w:r w:rsidR="00550201" w:rsidRPr="00D06CB8">
        <w:rPr>
          <w:rFonts w:ascii="Bookman Old Style" w:eastAsia="Bookman Old Style" w:hAnsi="Bookman Old Style" w:cs="Bookman Old Style"/>
          <w:sz w:val="27"/>
          <w:szCs w:val="27"/>
          <w:lang w:val="es-CO"/>
        </w:rPr>
        <w:t>conocían</w:t>
      </w:r>
      <w:r w:rsidRPr="00D06CB8">
        <w:rPr>
          <w:rFonts w:ascii="Bookman Old Style" w:eastAsia="Bookman Old Style" w:hAnsi="Bookman Old Style" w:cs="Bookman Old Style"/>
          <w:sz w:val="27"/>
          <w:szCs w:val="27"/>
          <w:lang w:val="es-CO"/>
        </w:rPr>
        <w:t xml:space="preserve"> que las franjas explotadas forma</w:t>
      </w:r>
      <w:r w:rsidR="00550201" w:rsidRPr="00D06CB8">
        <w:rPr>
          <w:rFonts w:ascii="Bookman Old Style" w:eastAsia="Bookman Old Style" w:hAnsi="Bookman Old Style" w:cs="Bookman Old Style"/>
          <w:sz w:val="27"/>
          <w:szCs w:val="27"/>
          <w:lang w:val="es-CO"/>
        </w:rPr>
        <w:t>ban</w:t>
      </w:r>
      <w:r w:rsidRPr="00D06CB8">
        <w:rPr>
          <w:rFonts w:ascii="Bookman Old Style" w:eastAsia="Bookman Old Style" w:hAnsi="Bookman Old Style" w:cs="Bookman Old Style"/>
          <w:sz w:val="27"/>
          <w:szCs w:val="27"/>
          <w:lang w:val="es-CO"/>
        </w:rPr>
        <w:t xml:space="preserve"> parte de “Las Mercedes” y que el inmueble se adjudi</w:t>
      </w:r>
      <w:r w:rsidR="00550201" w:rsidRPr="00D06CB8">
        <w:rPr>
          <w:rFonts w:ascii="Bookman Old Style" w:eastAsia="Bookman Old Style" w:hAnsi="Bookman Old Style" w:cs="Bookman Old Style"/>
          <w:sz w:val="27"/>
          <w:szCs w:val="27"/>
          <w:lang w:val="es-CO"/>
        </w:rPr>
        <w:t>có</w:t>
      </w:r>
      <w:r w:rsidRPr="00D06CB8">
        <w:rPr>
          <w:rFonts w:ascii="Bookman Old Style" w:eastAsia="Bookman Old Style" w:hAnsi="Bookman Old Style" w:cs="Bookman Old Style"/>
          <w:sz w:val="27"/>
          <w:szCs w:val="27"/>
          <w:lang w:val="es-CO"/>
        </w:rPr>
        <w:t xml:space="preserve"> a Martha Lucía Montiel Morales. </w:t>
      </w:r>
    </w:p>
    <w:p w14:paraId="2A4546EF" w14:textId="77777777" w:rsidR="000712BE" w:rsidRPr="00D06CB8" w:rsidRDefault="000712BE" w:rsidP="000712BE">
      <w:pPr>
        <w:spacing w:after="0" w:line="360" w:lineRule="auto"/>
        <w:jc w:val="both"/>
        <w:rPr>
          <w:rFonts w:ascii="Bookman Old Style" w:eastAsia="Bookman Old Style" w:hAnsi="Bookman Old Style" w:cs="Bookman Old Style"/>
          <w:sz w:val="27"/>
          <w:szCs w:val="27"/>
          <w:lang w:val="es-CO"/>
        </w:rPr>
      </w:pPr>
    </w:p>
    <w:p w14:paraId="3FA6FE95" w14:textId="52D4E255" w:rsidR="00F5740C" w:rsidRPr="00D06CB8" w:rsidRDefault="003C6C5D" w:rsidP="008F1F87">
      <w:pPr>
        <w:spacing w:after="0" w:line="360" w:lineRule="auto"/>
        <w:ind w:firstLine="567"/>
        <w:jc w:val="both"/>
        <w:rPr>
          <w:rFonts w:ascii="Bookman Old Style" w:eastAsia="Bookman Old Style" w:hAnsi="Bookman Old Style" w:cs="Bookman Old Style"/>
          <w:sz w:val="27"/>
          <w:szCs w:val="27"/>
          <w:lang w:val="es-CO"/>
        </w:rPr>
      </w:pPr>
      <w:r w:rsidRPr="00D06CB8">
        <w:rPr>
          <w:rFonts w:ascii="Bookman Old Style" w:eastAsia="Bookman Old Style" w:hAnsi="Bookman Old Style" w:cs="Bookman Old Style"/>
          <w:sz w:val="27"/>
          <w:szCs w:val="27"/>
          <w:lang w:val="es-CO"/>
        </w:rPr>
        <w:t>Aun así, no cesa</w:t>
      </w:r>
      <w:r w:rsidR="00550201" w:rsidRPr="00D06CB8">
        <w:rPr>
          <w:rFonts w:ascii="Bookman Old Style" w:eastAsia="Bookman Old Style" w:hAnsi="Bookman Old Style" w:cs="Bookman Old Style"/>
          <w:sz w:val="27"/>
          <w:szCs w:val="27"/>
          <w:lang w:val="es-CO"/>
        </w:rPr>
        <w:t>ron</w:t>
      </w:r>
      <w:r w:rsidRPr="00D06CB8">
        <w:rPr>
          <w:rFonts w:ascii="Bookman Old Style" w:eastAsia="Bookman Old Style" w:hAnsi="Bookman Old Style" w:cs="Bookman Old Style"/>
          <w:sz w:val="27"/>
          <w:szCs w:val="27"/>
          <w:lang w:val="es-CO"/>
        </w:rPr>
        <w:t xml:space="preserve"> la invasión. La mant</w:t>
      </w:r>
      <w:r w:rsidR="00550201" w:rsidRPr="00D06CB8">
        <w:rPr>
          <w:rFonts w:ascii="Bookman Old Style" w:eastAsia="Bookman Old Style" w:hAnsi="Bookman Old Style" w:cs="Bookman Old Style"/>
          <w:sz w:val="27"/>
          <w:szCs w:val="27"/>
          <w:lang w:val="es-CO"/>
        </w:rPr>
        <w:t>uvieron</w:t>
      </w:r>
      <w:r w:rsidRPr="00D06CB8">
        <w:rPr>
          <w:rFonts w:ascii="Bookman Old Style" w:eastAsia="Bookman Old Style" w:hAnsi="Bookman Old Style" w:cs="Bookman Old Style"/>
          <w:sz w:val="27"/>
          <w:szCs w:val="27"/>
          <w:lang w:val="es-CO"/>
        </w:rPr>
        <w:t>, la ampl</w:t>
      </w:r>
      <w:r w:rsidR="00550201" w:rsidRPr="00D06CB8">
        <w:rPr>
          <w:rFonts w:ascii="Bookman Old Style" w:eastAsia="Bookman Old Style" w:hAnsi="Bookman Old Style" w:cs="Bookman Old Style"/>
          <w:sz w:val="27"/>
          <w:szCs w:val="27"/>
          <w:lang w:val="es-CO"/>
        </w:rPr>
        <w:t>iaron</w:t>
      </w:r>
      <w:r w:rsidRPr="00D06CB8">
        <w:rPr>
          <w:rFonts w:ascii="Bookman Old Style" w:eastAsia="Bookman Old Style" w:hAnsi="Bookman Old Style" w:cs="Bookman Old Style"/>
          <w:sz w:val="27"/>
          <w:szCs w:val="27"/>
          <w:lang w:val="es-CO"/>
        </w:rPr>
        <w:t xml:space="preserve"> y la explota</w:t>
      </w:r>
      <w:r w:rsidR="00550201" w:rsidRPr="00D06CB8">
        <w:rPr>
          <w:rFonts w:ascii="Bookman Old Style" w:eastAsia="Bookman Old Style" w:hAnsi="Bookman Old Style" w:cs="Bookman Old Style"/>
          <w:sz w:val="27"/>
          <w:szCs w:val="27"/>
          <w:lang w:val="es-CO"/>
        </w:rPr>
        <w:t>ron</w:t>
      </w:r>
      <w:r w:rsidRPr="00D06CB8">
        <w:rPr>
          <w:rFonts w:ascii="Bookman Old Style" w:eastAsia="Bookman Old Style" w:hAnsi="Bookman Old Style" w:cs="Bookman Old Style"/>
          <w:sz w:val="27"/>
          <w:szCs w:val="27"/>
          <w:lang w:val="es-CO"/>
        </w:rPr>
        <w:t xml:space="preserve"> hasta 2018. Ese dato excluye que la permanencia posterior responda a una simple confusión inocente sobre la situación jurídica del bien. Por el contrario, muestra una decisión consciente de seguir ocupando y explotando un terreno respecto del cual no detentan derecho alguno</w:t>
      </w:r>
      <w:r w:rsidR="009842F0" w:rsidRPr="00D06CB8">
        <w:rPr>
          <w:rFonts w:ascii="Bookman Old Style" w:eastAsia="Bookman Old Style" w:hAnsi="Bookman Old Style" w:cs="Bookman Old Style"/>
          <w:sz w:val="27"/>
          <w:szCs w:val="27"/>
          <w:lang w:val="es-CO"/>
        </w:rPr>
        <w:t>.</w:t>
      </w:r>
    </w:p>
    <w:p w14:paraId="6F2152E8" w14:textId="77777777" w:rsidR="00F5740C" w:rsidRPr="00D06CB8" w:rsidRDefault="00F5740C" w:rsidP="0056217D">
      <w:pPr>
        <w:spacing w:after="0" w:line="360" w:lineRule="auto"/>
        <w:jc w:val="both"/>
        <w:rPr>
          <w:rFonts w:ascii="Bookman Old Style" w:eastAsia="Bookman Old Style" w:hAnsi="Bookman Old Style" w:cs="Bookman Old Style"/>
          <w:sz w:val="27"/>
          <w:szCs w:val="27"/>
        </w:rPr>
      </w:pPr>
    </w:p>
    <w:p w14:paraId="2B7A19EA" w14:textId="5A8DFFD2" w:rsidR="00520EBC" w:rsidRPr="00D06CB8" w:rsidRDefault="003669A6" w:rsidP="6F994DCF">
      <w:pPr>
        <w:pStyle w:val="Prrafodelista"/>
        <w:numPr>
          <w:ilvl w:val="0"/>
          <w:numId w:val="15"/>
        </w:numPr>
        <w:spacing w:after="0" w:line="360" w:lineRule="auto"/>
        <w:ind w:left="0" w:firstLine="567"/>
        <w:jc w:val="both"/>
        <w:rPr>
          <w:rFonts w:ascii="Bookman Old Style" w:eastAsia="Bookman Old Style" w:hAnsi="Bookman Old Style" w:cs="Bookman Old Style"/>
          <w:sz w:val="27"/>
          <w:szCs w:val="27"/>
          <w:lang w:val="es-ES"/>
        </w:rPr>
      </w:pPr>
      <w:r w:rsidRPr="00D06CB8">
        <w:rPr>
          <w:rFonts w:ascii="Bookman Old Style" w:eastAsia="Bookman Old Style" w:hAnsi="Bookman Old Style" w:cs="Bookman Old Style"/>
          <w:sz w:val="27"/>
          <w:szCs w:val="27"/>
          <w:lang w:val="es-ES"/>
        </w:rPr>
        <w:lastRenderedPageBreak/>
        <w:t xml:space="preserve"> </w:t>
      </w:r>
      <w:r w:rsidR="00E522DB" w:rsidRPr="00D06CB8">
        <w:rPr>
          <w:rFonts w:ascii="Bookman Old Style" w:eastAsia="Bookman Old Style" w:hAnsi="Bookman Old Style" w:cs="Bookman Old Style"/>
          <w:sz w:val="27"/>
          <w:szCs w:val="27"/>
          <w:lang w:val="es-ES"/>
        </w:rPr>
        <w:t xml:space="preserve">Así las cosas, la Corte advierte que existen </w:t>
      </w:r>
      <w:r w:rsidR="00A82903" w:rsidRPr="00D06CB8">
        <w:rPr>
          <w:rFonts w:ascii="Bookman Old Style" w:eastAsia="Bookman Old Style" w:hAnsi="Bookman Old Style" w:cs="Bookman Old Style"/>
          <w:sz w:val="27"/>
          <w:szCs w:val="27"/>
          <w:lang w:val="es-ES"/>
        </w:rPr>
        <w:t xml:space="preserve">pruebas </w:t>
      </w:r>
      <w:r w:rsidR="0055704E" w:rsidRPr="00D06CB8">
        <w:rPr>
          <w:rFonts w:ascii="Bookman Old Style" w:eastAsia="Bookman Old Style" w:hAnsi="Bookman Old Style" w:cs="Bookman Old Style"/>
          <w:sz w:val="27"/>
          <w:szCs w:val="27"/>
          <w:lang w:val="es-ES"/>
        </w:rPr>
        <w:t xml:space="preserve">suficientes </w:t>
      </w:r>
      <w:r w:rsidR="00E522DB" w:rsidRPr="00D06CB8">
        <w:rPr>
          <w:rFonts w:ascii="Bookman Old Style" w:eastAsia="Bookman Old Style" w:hAnsi="Bookman Old Style" w:cs="Bookman Old Style"/>
          <w:sz w:val="27"/>
          <w:szCs w:val="27"/>
          <w:lang w:val="es-ES"/>
        </w:rPr>
        <w:t>que permiten respaldar la teoría del caso de la Fiscalía, según la cual la finca “Las Mercedes” pertenece a Martha Lucía Montiel Morales y</w:t>
      </w:r>
      <w:r w:rsidR="006C1597" w:rsidRPr="00D06CB8">
        <w:rPr>
          <w:rFonts w:ascii="Bookman Old Style" w:eastAsia="Bookman Old Style" w:hAnsi="Bookman Old Style" w:cs="Bookman Old Style"/>
          <w:sz w:val="27"/>
          <w:szCs w:val="27"/>
          <w:lang w:val="es-ES"/>
        </w:rPr>
        <w:t xml:space="preserve"> que</w:t>
      </w:r>
      <w:r w:rsidR="00E522DB" w:rsidRPr="00D06CB8">
        <w:rPr>
          <w:rFonts w:ascii="Bookman Old Style" w:eastAsia="Bookman Old Style" w:hAnsi="Bookman Old Style" w:cs="Bookman Old Style"/>
          <w:sz w:val="27"/>
          <w:szCs w:val="27"/>
          <w:lang w:val="es-ES"/>
        </w:rPr>
        <w:t xml:space="preserve"> </w:t>
      </w:r>
      <w:r w:rsidR="00E522DB" w:rsidRPr="00D06CB8">
        <w:rPr>
          <w:rFonts w:ascii="Bookman Old Style" w:eastAsia="Bookman Old Style" w:hAnsi="Bookman Old Style" w:cs="Bookman Old Style"/>
          <w:smallCaps/>
          <w:sz w:val="27"/>
          <w:szCs w:val="27"/>
          <w:lang w:val="es-ES"/>
        </w:rPr>
        <w:t>Armando Loaiza Céspedes, Luis Enrique Peña Camacho</w:t>
      </w:r>
      <w:r w:rsidR="00E522DB" w:rsidRPr="00D06CB8">
        <w:rPr>
          <w:rFonts w:ascii="Bookman Old Style" w:eastAsia="Bookman Old Style" w:hAnsi="Bookman Old Style" w:cs="Bookman Old Style"/>
          <w:sz w:val="27"/>
          <w:szCs w:val="27"/>
          <w:lang w:val="es-ES"/>
        </w:rPr>
        <w:t xml:space="preserve"> y </w:t>
      </w:r>
      <w:r w:rsidRPr="00D06CB8">
        <w:rPr>
          <w:rFonts w:ascii="Bookman Old Style" w:eastAsia="Bookman Old Style" w:hAnsi="Bookman Old Style" w:cs="Bookman Old Style"/>
          <w:smallCaps/>
          <w:sz w:val="27"/>
          <w:szCs w:val="27"/>
          <w:lang w:val="es-ES"/>
        </w:rPr>
        <w:t>É</w:t>
      </w:r>
      <w:r w:rsidR="00E522DB" w:rsidRPr="00D06CB8">
        <w:rPr>
          <w:rFonts w:ascii="Bookman Old Style" w:eastAsia="Bookman Old Style" w:hAnsi="Bookman Old Style" w:cs="Bookman Old Style"/>
          <w:smallCaps/>
          <w:sz w:val="27"/>
          <w:szCs w:val="27"/>
          <w:lang w:val="es-ES"/>
        </w:rPr>
        <w:t>dgar Triana</w:t>
      </w:r>
      <w:r w:rsidR="00E522DB" w:rsidRPr="00D06CB8">
        <w:rPr>
          <w:rFonts w:ascii="Bookman Old Style" w:eastAsia="Bookman Old Style" w:hAnsi="Bookman Old Style" w:cs="Bookman Old Style"/>
          <w:sz w:val="27"/>
          <w:szCs w:val="27"/>
          <w:lang w:val="es-ES"/>
        </w:rPr>
        <w:t xml:space="preserve"> ocuparon </w:t>
      </w:r>
      <w:r w:rsidR="001A17A6" w:rsidRPr="00D06CB8">
        <w:rPr>
          <w:rFonts w:ascii="Bookman Old Style" w:eastAsia="Bookman Old Style" w:hAnsi="Bookman Old Style" w:cs="Bookman Old Style"/>
          <w:sz w:val="27"/>
          <w:szCs w:val="27"/>
          <w:lang w:val="es-ES"/>
        </w:rPr>
        <w:t xml:space="preserve">arbitrariamente </w:t>
      </w:r>
      <w:r w:rsidR="00E522DB" w:rsidRPr="00D06CB8">
        <w:rPr>
          <w:rFonts w:ascii="Bookman Old Style" w:eastAsia="Bookman Old Style" w:hAnsi="Bookman Old Style" w:cs="Bookman Old Style"/>
          <w:sz w:val="27"/>
          <w:szCs w:val="27"/>
          <w:lang w:val="es-ES"/>
        </w:rPr>
        <w:t xml:space="preserve">y explotaron </w:t>
      </w:r>
      <w:r w:rsidR="00BB2853" w:rsidRPr="00D06CB8">
        <w:rPr>
          <w:rFonts w:ascii="Bookman Old Style" w:eastAsia="Bookman Old Style" w:hAnsi="Bookman Old Style" w:cs="Bookman Old Style"/>
          <w:sz w:val="27"/>
          <w:szCs w:val="27"/>
          <w:lang w:val="es-ES"/>
        </w:rPr>
        <w:t xml:space="preserve">ilícitamente </w:t>
      </w:r>
      <w:r w:rsidR="00E522DB" w:rsidRPr="00D06CB8">
        <w:rPr>
          <w:rFonts w:ascii="Bookman Old Style" w:eastAsia="Bookman Old Style" w:hAnsi="Bookman Old Style" w:cs="Bookman Old Style"/>
          <w:sz w:val="27"/>
          <w:szCs w:val="27"/>
          <w:lang w:val="es-ES"/>
        </w:rPr>
        <w:t>porciones de ese inmueble sin autorización.</w:t>
      </w:r>
    </w:p>
    <w:p w14:paraId="0640E7F3" w14:textId="77777777" w:rsidR="00520EBC" w:rsidRPr="00D06CB8" w:rsidRDefault="00520EBC" w:rsidP="0056217D">
      <w:pPr>
        <w:widowControl w:val="0"/>
        <w:spacing w:after="0" w:line="360" w:lineRule="auto"/>
        <w:ind w:firstLine="567"/>
        <w:jc w:val="both"/>
        <w:rPr>
          <w:rFonts w:ascii="Bookman Old Style" w:eastAsia="Bookman Old Style" w:hAnsi="Bookman Old Style" w:cs="Bookman Old Style"/>
          <w:sz w:val="27"/>
          <w:szCs w:val="27"/>
        </w:rPr>
      </w:pPr>
    </w:p>
    <w:p w14:paraId="030F02C3" w14:textId="6699DDED" w:rsidR="00520EBC" w:rsidRPr="00D06CB8" w:rsidRDefault="00520EBC" w:rsidP="0056217D">
      <w:pPr>
        <w:widowControl w:val="0"/>
        <w:spacing w:after="0" w:line="360" w:lineRule="auto"/>
        <w:ind w:firstLine="567"/>
        <w:jc w:val="both"/>
        <w:rPr>
          <w:rFonts w:ascii="Bookman Old Style" w:hAnsi="Bookman Old Style"/>
          <w:bCs/>
          <w:smallCaps/>
          <w:color w:val="000000"/>
          <w:spacing w:val="-3"/>
          <w:sz w:val="27"/>
          <w:szCs w:val="27"/>
        </w:rPr>
      </w:pPr>
      <w:r w:rsidRPr="00D06CB8">
        <w:rPr>
          <w:rFonts w:ascii="Bookman Old Style" w:eastAsia="Bookman Old Style" w:hAnsi="Bookman Old Style" w:cs="Bookman Old Style"/>
          <w:sz w:val="27"/>
          <w:szCs w:val="27"/>
        </w:rPr>
        <w:t>No obstante, esta conclusión solo es provisional. Para llegar a una conclusión definitiva, la Sala debe valorar las pruebas y los cuestionamientos formulados por la defensa.</w:t>
      </w:r>
    </w:p>
    <w:p w14:paraId="71E9B021" w14:textId="77777777" w:rsidR="00520EBC" w:rsidRPr="00D06CB8" w:rsidRDefault="00520EBC" w:rsidP="0056217D">
      <w:pPr>
        <w:widowControl w:val="0"/>
        <w:spacing w:after="0" w:line="360" w:lineRule="auto"/>
        <w:ind w:firstLine="567"/>
        <w:jc w:val="both"/>
        <w:rPr>
          <w:rFonts w:ascii="Bookman Old Style" w:eastAsia="Bookman Old Style" w:hAnsi="Bookman Old Style" w:cs="Bookman Old Style"/>
          <w:sz w:val="27"/>
          <w:szCs w:val="27"/>
        </w:rPr>
      </w:pPr>
    </w:p>
    <w:p w14:paraId="2D16D229"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b/>
          <w:bCs/>
          <w:sz w:val="27"/>
          <w:szCs w:val="27"/>
          <w:lang w:eastAsia="es-ES"/>
        </w:rPr>
        <w:t>2.</w:t>
      </w:r>
      <w:r w:rsidRPr="00D06CB8">
        <w:rPr>
          <w:rFonts w:ascii="Bookman Old Style" w:eastAsia="Calibri" w:hAnsi="Bookman Old Style"/>
          <w:sz w:val="27"/>
          <w:szCs w:val="27"/>
          <w:lang w:eastAsia="es-ES"/>
        </w:rPr>
        <w:t xml:space="preserve"> </w:t>
      </w:r>
      <w:r w:rsidRPr="00D06CB8">
        <w:rPr>
          <w:rFonts w:ascii="Bookman Old Style" w:eastAsia="Calibri" w:hAnsi="Bookman Old Style"/>
          <w:b/>
          <w:bCs/>
          <w:sz w:val="27"/>
          <w:szCs w:val="27"/>
          <w:lang w:eastAsia="es-ES"/>
        </w:rPr>
        <w:t>Valoración de las pruebas de la defensa</w:t>
      </w:r>
      <w:r w:rsidRPr="00D06CB8">
        <w:rPr>
          <w:rFonts w:ascii="Times New Roman" w:eastAsia="Calibri" w:hAnsi="Times New Roman"/>
          <w:sz w:val="27"/>
          <w:szCs w:val="27"/>
          <w:lang w:eastAsia="es-ES"/>
        </w:rPr>
        <w:t> </w:t>
      </w:r>
      <w:r w:rsidRPr="00D06CB8">
        <w:rPr>
          <w:rFonts w:ascii="Bookman Old Style" w:eastAsia="Calibri" w:hAnsi="Bookman Old Style"/>
          <w:sz w:val="27"/>
          <w:szCs w:val="27"/>
          <w:lang w:eastAsia="es-ES"/>
        </w:rPr>
        <w:t> </w:t>
      </w:r>
    </w:p>
    <w:p w14:paraId="5F893626"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w:t>
      </w:r>
    </w:p>
    <w:p w14:paraId="2DEF460B" w14:textId="6F7A90AC" w:rsidR="00520EBC" w:rsidRPr="00D06CB8" w:rsidRDefault="00520EBC" w:rsidP="6F994DCF">
      <w:pPr>
        <w:pStyle w:val="Prrafodelista"/>
        <w:numPr>
          <w:ilvl w:val="0"/>
          <w:numId w:val="15"/>
        </w:numPr>
        <w:spacing w:after="0" w:line="360" w:lineRule="auto"/>
        <w:ind w:left="0" w:firstLine="567"/>
        <w:jc w:val="both"/>
        <w:rPr>
          <w:rFonts w:ascii="Bookman Old Style" w:hAnsi="Bookman Old Style"/>
          <w:smallCaps/>
          <w:color w:val="000000"/>
          <w:spacing w:val="-3"/>
          <w:sz w:val="27"/>
          <w:szCs w:val="27"/>
          <w:lang w:val="es-ES"/>
        </w:rPr>
      </w:pPr>
      <w:r w:rsidRPr="00D06CB8">
        <w:rPr>
          <w:rFonts w:ascii="Bookman Old Style" w:eastAsia="Calibri" w:hAnsi="Bookman Old Style"/>
          <w:sz w:val="27"/>
          <w:szCs w:val="27"/>
          <w:lang w:val="es-ES" w:eastAsia="es-ES"/>
        </w:rPr>
        <w:t xml:space="preserve"> La Corporación analizó</w:t>
      </w:r>
      <w:r w:rsidR="00E376E3" w:rsidRPr="00D06CB8">
        <w:rPr>
          <w:rFonts w:ascii="Bookman Old Style" w:eastAsia="Calibri" w:hAnsi="Bookman Old Style"/>
          <w:sz w:val="27"/>
          <w:szCs w:val="27"/>
          <w:lang w:val="es-ES" w:eastAsia="es-ES"/>
        </w:rPr>
        <w:t xml:space="preserve"> los testimonios de descargo practicados en el juicio oral, en especial los de Luis Alfonso Guerra, Agustín Sánchez Penagos y </w:t>
      </w:r>
      <w:r w:rsidR="00E376E3" w:rsidRPr="00D06CB8">
        <w:rPr>
          <w:rFonts w:ascii="Bookman Old Style" w:eastAsia="Calibri" w:hAnsi="Bookman Old Style"/>
          <w:smallCaps/>
          <w:sz w:val="27"/>
          <w:szCs w:val="27"/>
          <w:lang w:val="es-ES" w:eastAsia="es-ES"/>
        </w:rPr>
        <w:t>Armando Loaiza Céspedes</w:t>
      </w:r>
      <w:r w:rsidR="00E376E3" w:rsidRPr="00D06CB8">
        <w:rPr>
          <w:rFonts w:ascii="Bookman Old Style" w:eastAsia="Calibri" w:hAnsi="Bookman Old Style"/>
          <w:sz w:val="27"/>
          <w:szCs w:val="27"/>
          <w:lang w:val="es-ES" w:eastAsia="es-ES"/>
        </w:rPr>
        <w:t>, así como la declaración del investigador privado Hugo Alejandro Mora Pérez,</w:t>
      </w:r>
      <w:r w:rsidRPr="00D06CB8">
        <w:rPr>
          <w:rFonts w:ascii="Bookman Old Style" w:eastAsia="Calibri" w:hAnsi="Bookman Old Style"/>
          <w:sz w:val="27"/>
          <w:szCs w:val="27"/>
          <w:lang w:val="es-ES" w:eastAsia="es-ES"/>
        </w:rPr>
        <w:t xml:space="preserve"> </w:t>
      </w:r>
      <w:r w:rsidR="00E376E3" w:rsidRPr="00D06CB8">
        <w:rPr>
          <w:rFonts w:ascii="Bookman Old Style" w:eastAsia="Calibri" w:hAnsi="Bookman Old Style"/>
          <w:sz w:val="27"/>
          <w:szCs w:val="27"/>
          <w:lang w:val="es-ES" w:eastAsia="es-ES"/>
        </w:rPr>
        <w:t>junto con los documentos que aportaron</w:t>
      </w:r>
      <w:r w:rsidR="00E376E3" w:rsidRPr="00D06CB8">
        <w:rPr>
          <w:rStyle w:val="Refdenotaalpie"/>
          <w:rFonts w:ascii="Bookman Old Style" w:eastAsia="Calibri" w:hAnsi="Bookman Old Style"/>
          <w:sz w:val="27"/>
          <w:szCs w:val="27"/>
          <w:lang w:val="es-ES" w:eastAsia="es-ES"/>
        </w:rPr>
        <w:footnoteReference w:id="22"/>
      </w:r>
      <w:r w:rsidR="00E376E3" w:rsidRPr="00D06CB8">
        <w:rPr>
          <w:rFonts w:ascii="Bookman Old Style" w:eastAsia="Calibri" w:hAnsi="Bookman Old Style"/>
          <w:sz w:val="27"/>
          <w:szCs w:val="27"/>
          <w:lang w:val="es-ES" w:eastAsia="es-ES"/>
        </w:rPr>
        <w:t>.</w:t>
      </w:r>
      <w:r w:rsidRPr="00D06CB8">
        <w:rPr>
          <w:rFonts w:ascii="Bookman Old Style" w:hAnsi="Bookman Old Style"/>
          <w:color w:val="000000"/>
          <w:spacing w:val="-3"/>
          <w:sz w:val="27"/>
          <w:szCs w:val="27"/>
          <w:lang w:val="es-ES"/>
        </w:rPr>
        <w:t xml:space="preserve"> </w:t>
      </w:r>
      <w:r w:rsidRPr="00D06CB8">
        <w:rPr>
          <w:rFonts w:ascii="Bookman Old Style" w:eastAsia="Calibri" w:hAnsi="Bookman Old Style"/>
          <w:sz w:val="27"/>
          <w:szCs w:val="27"/>
          <w:lang w:val="es-ES" w:eastAsia="es-ES"/>
        </w:rPr>
        <w:t>A partir de dicha información, la versión de los hechos propuesta por la defensa es la siguiente:</w:t>
      </w:r>
    </w:p>
    <w:p w14:paraId="5E1F4290"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p>
    <w:p w14:paraId="1335600A" w14:textId="443291B8"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a. El 18 de abril de 1978, el Instituto Colombiano de la Reforma Agraria (INCORA) cedió al ICEL bienes relacionados con el área inundable de la represa del río Prado. Años después, las escrituras 4457 del 26 de junio de 2007 y 9533 del 20 de diciembre de 2007 dieron cuenta de predios y mejoras </w:t>
      </w:r>
      <w:r w:rsidRPr="00D06CB8">
        <w:rPr>
          <w:rFonts w:ascii="Bookman Old Style" w:eastAsia="Calibri" w:hAnsi="Bookman Old Style"/>
          <w:sz w:val="27"/>
          <w:szCs w:val="27"/>
          <w:lang w:eastAsia="es-ES"/>
        </w:rPr>
        <w:lastRenderedPageBreak/>
        <w:t>vinculados al área inundada e inundable del embalse, con referencia a las matrículas 368-424 y 368-24060 y a una extensión comprendida entre las cotas 265 y 367.</w:t>
      </w:r>
    </w:p>
    <w:p w14:paraId="01B2259F" w14:textId="70E4D07A"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p>
    <w:p w14:paraId="244129C3" w14:textId="77777777"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b. Mucho antes de que Martha Lucía Montiel Morales adquiriera la finca “Las Mercedes”, los sectores bajos del terreno ya aparecían identificados en la zona como parte de la represa o de su franja inundable. </w:t>
      </w:r>
    </w:p>
    <w:p w14:paraId="5EE33E67" w14:textId="77777777"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p>
    <w:p w14:paraId="2A59EAE7" w14:textId="37E3AC8F"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En esos espacios, ubicados por debajo de la valla y en los niveles donde el agua solía subir, los acusados y otros habitantes de la región venían cultivando y trabajando la tierra.</w:t>
      </w:r>
      <w:r w:rsidR="006830BA" w:rsidRPr="00D06CB8">
        <w:rPr>
          <w:rFonts w:ascii="Bookman Old Style" w:hAnsi="Bookman Old Style"/>
          <w:sz w:val="27"/>
          <w:szCs w:val="27"/>
        </w:rPr>
        <w:t xml:space="preserve"> </w:t>
      </w:r>
      <w:r w:rsidR="006830BA" w:rsidRPr="00D06CB8">
        <w:rPr>
          <w:rFonts w:ascii="Bookman Old Style" w:eastAsia="Calibri" w:hAnsi="Bookman Old Style"/>
          <w:sz w:val="27"/>
          <w:szCs w:val="27"/>
          <w:lang w:eastAsia="es-ES"/>
        </w:rPr>
        <w:t>Los testigos ubicaron esa ocupación entre 20 y 29 años atrás y la asociaron con puntos o marcas del embalse que la comunidad utilizaba como referencia.</w:t>
      </w:r>
    </w:p>
    <w:p w14:paraId="569564DA" w14:textId="77777777"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p>
    <w:p w14:paraId="3C4AF43C" w14:textId="28907EF2"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c. </w:t>
      </w:r>
      <w:r w:rsidR="009113C8" w:rsidRPr="00D06CB8">
        <w:rPr>
          <w:rFonts w:ascii="Bookman Old Style" w:eastAsia="Calibri" w:hAnsi="Bookman Old Style"/>
          <w:sz w:val="27"/>
          <w:szCs w:val="27"/>
          <w:lang w:eastAsia="es-ES"/>
        </w:rPr>
        <w:t>L</w:t>
      </w:r>
      <w:r w:rsidRPr="00D06CB8">
        <w:rPr>
          <w:rFonts w:ascii="Bookman Old Style" w:eastAsia="Calibri" w:hAnsi="Bookman Old Style"/>
          <w:sz w:val="27"/>
          <w:szCs w:val="27"/>
          <w:lang w:eastAsia="es-ES"/>
        </w:rPr>
        <w:t xml:space="preserve">a ocupación de esos terrenos no apareció como un ingreso reciente ni como una irrupción violenta. </w:t>
      </w:r>
      <w:r w:rsidR="009113C8" w:rsidRPr="00D06CB8">
        <w:rPr>
          <w:rFonts w:ascii="Bookman Old Style" w:eastAsia="Calibri" w:hAnsi="Bookman Old Style"/>
          <w:sz w:val="27"/>
          <w:szCs w:val="27"/>
          <w:lang w:eastAsia="es-ES"/>
        </w:rPr>
        <w:t>Esos</w:t>
      </w:r>
      <w:r w:rsidRPr="00D06CB8">
        <w:rPr>
          <w:rFonts w:ascii="Bookman Old Style" w:eastAsia="Calibri" w:hAnsi="Bookman Old Style"/>
          <w:sz w:val="27"/>
          <w:szCs w:val="27"/>
          <w:lang w:eastAsia="es-ES"/>
        </w:rPr>
        <w:t xml:space="preserve"> terrenos la comunidad </w:t>
      </w:r>
      <w:r w:rsidR="009113C8" w:rsidRPr="00D06CB8">
        <w:rPr>
          <w:rFonts w:ascii="Bookman Old Style" w:eastAsia="Calibri" w:hAnsi="Bookman Old Style"/>
          <w:sz w:val="27"/>
          <w:szCs w:val="27"/>
          <w:lang w:eastAsia="es-ES"/>
        </w:rPr>
        <w:t xml:space="preserve">los </w:t>
      </w:r>
      <w:r w:rsidRPr="00D06CB8">
        <w:rPr>
          <w:rFonts w:ascii="Bookman Old Style" w:eastAsia="Calibri" w:hAnsi="Bookman Old Style"/>
          <w:sz w:val="27"/>
          <w:szCs w:val="27"/>
          <w:lang w:eastAsia="es-ES"/>
        </w:rPr>
        <w:t>reconocía como parte de la represa, sin requerimientos de la empresa energética y sin desplazamiento forzado de otras personas.</w:t>
      </w:r>
    </w:p>
    <w:p w14:paraId="22887100" w14:textId="77777777"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p>
    <w:p w14:paraId="6763C040" w14:textId="79743585"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d. Luego, el 25 de mayo de 2012, el Juzgado Civil del Circuito de Purificación adjudicó por remate la finca </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a Martha Lucía Montiel Morales, y el 15 de junio siguiente aprobó esa diligencia. Para ese momento, los acusados </w:t>
      </w:r>
      <w:r w:rsidR="009113C8" w:rsidRPr="00D06CB8">
        <w:rPr>
          <w:rFonts w:ascii="Bookman Old Style" w:eastAsia="Calibri" w:hAnsi="Bookman Old Style"/>
          <w:sz w:val="27"/>
          <w:szCs w:val="27"/>
          <w:lang w:eastAsia="es-ES"/>
        </w:rPr>
        <w:t xml:space="preserve">trabajaban en </w:t>
      </w:r>
      <w:r w:rsidRPr="00D06CB8">
        <w:rPr>
          <w:rFonts w:ascii="Bookman Old Style" w:eastAsia="Calibri" w:hAnsi="Bookman Old Style"/>
          <w:sz w:val="27"/>
          <w:szCs w:val="27"/>
          <w:lang w:eastAsia="es-ES"/>
        </w:rPr>
        <w:t xml:space="preserve">los sectores que después quedaron en discusión, de modo que la ocupación de esas franjas ya existía cuando ocurrió la </w:t>
      </w:r>
      <w:r w:rsidR="009113C8" w:rsidRPr="00D06CB8">
        <w:rPr>
          <w:rFonts w:ascii="Bookman Old Style" w:eastAsia="Calibri" w:hAnsi="Bookman Old Style"/>
          <w:sz w:val="27"/>
          <w:szCs w:val="27"/>
          <w:lang w:eastAsia="es-ES"/>
        </w:rPr>
        <w:t xml:space="preserve">presunta </w:t>
      </w:r>
      <w:r w:rsidRPr="00D06CB8">
        <w:rPr>
          <w:rFonts w:ascii="Bookman Old Style" w:eastAsia="Calibri" w:hAnsi="Bookman Old Style"/>
          <w:sz w:val="27"/>
          <w:szCs w:val="27"/>
          <w:lang w:eastAsia="es-ES"/>
        </w:rPr>
        <w:t>adjudicación del inmueble.</w:t>
      </w:r>
    </w:p>
    <w:p w14:paraId="78D33A61" w14:textId="77777777"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p>
    <w:p w14:paraId="5A7380FD" w14:textId="345FAD29"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lastRenderedPageBreak/>
        <w:t xml:space="preserve">e. El 31 de enero de 2014, durante la diligencia de entrega material de </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la ocupación de las áreas discutidas continuaba. </w:t>
      </w:r>
      <w:r w:rsidR="0030366B" w:rsidRPr="00D06CB8">
        <w:rPr>
          <w:rFonts w:ascii="Bookman Old Style" w:eastAsia="Calibri" w:hAnsi="Bookman Old Style"/>
          <w:sz w:val="27"/>
          <w:szCs w:val="27"/>
          <w:lang w:eastAsia="es-ES"/>
        </w:rPr>
        <w:t>En</w:t>
      </w:r>
      <w:r w:rsidRPr="00D06CB8">
        <w:rPr>
          <w:rFonts w:ascii="Bookman Old Style" w:eastAsia="Calibri" w:hAnsi="Bookman Old Style"/>
          <w:sz w:val="27"/>
          <w:szCs w:val="27"/>
          <w:lang w:eastAsia="es-ES"/>
        </w:rPr>
        <w:t xml:space="preserve"> esa reconstrucción, la entrega material del predio coexistió con una ocupación anterior sobre los sectores que los acusados seguían considerando parte de la franja inundable del embalse.</w:t>
      </w:r>
    </w:p>
    <w:p w14:paraId="1C285D61" w14:textId="77777777" w:rsidR="00E376E3" w:rsidRPr="00D06CB8" w:rsidRDefault="00E376E3" w:rsidP="0056217D">
      <w:pPr>
        <w:spacing w:after="0" w:line="360" w:lineRule="auto"/>
        <w:ind w:firstLine="567"/>
        <w:contextualSpacing/>
        <w:jc w:val="both"/>
        <w:rPr>
          <w:rFonts w:ascii="Bookman Old Style" w:eastAsia="Calibri" w:hAnsi="Bookman Old Style"/>
          <w:sz w:val="27"/>
          <w:szCs w:val="27"/>
          <w:lang w:eastAsia="es-ES"/>
        </w:rPr>
      </w:pPr>
    </w:p>
    <w:p w14:paraId="53930231" w14:textId="2ABA4980" w:rsidR="00E376E3" w:rsidRPr="00D06CB8" w:rsidRDefault="00E376E3" w:rsidP="6F994DCF">
      <w:pPr>
        <w:spacing w:after="0" w:line="360" w:lineRule="auto"/>
        <w:ind w:firstLine="567"/>
        <w:contextualSpacing/>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f. Más adelante, </w:t>
      </w:r>
      <w:r w:rsidR="0030366B" w:rsidRPr="00D06CB8">
        <w:rPr>
          <w:rFonts w:ascii="Bookman Old Style" w:eastAsia="Calibri" w:hAnsi="Bookman Old Style"/>
          <w:sz w:val="27"/>
          <w:szCs w:val="27"/>
          <w:lang w:val="es-ES" w:eastAsia="es-ES"/>
        </w:rPr>
        <w:t xml:space="preserve">en </w:t>
      </w:r>
      <w:r w:rsidRPr="00D06CB8">
        <w:rPr>
          <w:rFonts w:ascii="Bookman Old Style" w:eastAsia="Calibri" w:hAnsi="Bookman Old Style"/>
          <w:sz w:val="27"/>
          <w:szCs w:val="27"/>
          <w:lang w:val="es-ES" w:eastAsia="es-ES"/>
        </w:rPr>
        <w:t>el trámite policivo por perturbación a la posesión</w:t>
      </w:r>
      <w:r w:rsidR="009113C8" w:rsidRPr="00D06CB8">
        <w:rPr>
          <w:rFonts w:ascii="Bookman Old Style" w:eastAsia="Calibri" w:hAnsi="Bookman Old Style"/>
          <w:sz w:val="27"/>
          <w:szCs w:val="27"/>
          <w:lang w:val="es-ES" w:eastAsia="es-ES"/>
        </w:rPr>
        <w:t xml:space="preserve"> con la</w:t>
      </w:r>
      <w:r w:rsidRPr="00D06CB8">
        <w:rPr>
          <w:rFonts w:ascii="Bookman Old Style" w:eastAsia="Calibri" w:hAnsi="Bookman Old Style"/>
          <w:sz w:val="27"/>
          <w:szCs w:val="27"/>
          <w:lang w:val="es-ES" w:eastAsia="es-ES"/>
        </w:rPr>
        <w:t xml:space="preserve"> Resolución 004 del 1 de junio de 201</w:t>
      </w:r>
      <w:r w:rsidR="009113C8" w:rsidRPr="00D06CB8">
        <w:rPr>
          <w:rFonts w:ascii="Bookman Old Style" w:eastAsia="Calibri" w:hAnsi="Bookman Old Style"/>
          <w:sz w:val="27"/>
          <w:szCs w:val="27"/>
          <w:lang w:val="es-ES" w:eastAsia="es-ES"/>
        </w:rPr>
        <w:t>8</w:t>
      </w:r>
      <w:r w:rsidRPr="00D06CB8">
        <w:rPr>
          <w:rFonts w:ascii="Bookman Old Style" w:eastAsia="Calibri" w:hAnsi="Bookman Old Style"/>
          <w:sz w:val="27"/>
          <w:szCs w:val="27"/>
          <w:lang w:val="es-ES" w:eastAsia="es-ES"/>
        </w:rPr>
        <w:t>, el área ocupada apareció asociada al lecho o cauce del embalse de Hidroprado, circunstancia que conectó con la misma secuencia que había planteado desde el inicio: la ocupación de terrenos bajos, la referencia a la cota 367, la existencia de mojones o puntos del embalse y la identificación de esas franjas como parte de la zona inundable.</w:t>
      </w:r>
    </w:p>
    <w:p w14:paraId="5D9170F3" w14:textId="77777777" w:rsidR="00E376E3" w:rsidRPr="00D06CB8" w:rsidRDefault="00E376E3" w:rsidP="0056217D">
      <w:pPr>
        <w:spacing w:after="0" w:line="360" w:lineRule="auto"/>
        <w:contextualSpacing/>
        <w:jc w:val="both"/>
        <w:rPr>
          <w:rFonts w:ascii="Bookman Old Style" w:eastAsia="Calibri" w:hAnsi="Bookman Old Style"/>
          <w:sz w:val="27"/>
          <w:szCs w:val="27"/>
          <w:lang w:eastAsia="es-ES"/>
        </w:rPr>
      </w:pPr>
    </w:p>
    <w:p w14:paraId="70498645" w14:textId="579C02B9" w:rsidR="00520EBC" w:rsidRPr="00D06CB8" w:rsidRDefault="00520EBC" w:rsidP="0060500E">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Pues bien, para la Corte, la</w:t>
      </w:r>
      <w:r w:rsidR="00FC71AC" w:rsidRPr="00D06CB8">
        <w:rPr>
          <w:rFonts w:ascii="Bookman Old Style" w:eastAsia="Calibri" w:hAnsi="Bookman Old Style"/>
          <w:sz w:val="27"/>
          <w:szCs w:val="27"/>
          <w:lang w:eastAsia="es-ES"/>
        </w:rPr>
        <w:t>s pruebas</w:t>
      </w:r>
      <w:r w:rsidRPr="00D06CB8">
        <w:rPr>
          <w:rFonts w:ascii="Bookman Old Style" w:eastAsia="Calibri" w:hAnsi="Bookman Old Style"/>
          <w:sz w:val="27"/>
          <w:szCs w:val="27"/>
          <w:lang w:eastAsia="es-ES"/>
        </w:rPr>
        <w:t xml:space="preserve"> de la defensa no tiene</w:t>
      </w:r>
      <w:r w:rsidR="00280151" w:rsidRPr="00D06CB8">
        <w:rPr>
          <w:rFonts w:ascii="Bookman Old Style" w:eastAsia="Calibri" w:hAnsi="Bookman Old Style"/>
          <w:sz w:val="27"/>
          <w:szCs w:val="27"/>
          <w:lang w:eastAsia="es-ES"/>
        </w:rPr>
        <w:t>n</w:t>
      </w:r>
      <w:r w:rsidRPr="00D06CB8">
        <w:rPr>
          <w:rFonts w:ascii="Bookman Old Style" w:eastAsia="Calibri" w:hAnsi="Bookman Old Style"/>
          <w:sz w:val="27"/>
          <w:szCs w:val="27"/>
          <w:lang w:eastAsia="es-ES"/>
        </w:rPr>
        <w:t xml:space="preserve"> la entidad suficiente para modificar la conclusión provisional a la que llegó a partir de la valoración de la prueba de cargo, por lo siguiente: </w:t>
      </w:r>
    </w:p>
    <w:p w14:paraId="4FB0FDDA"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p>
    <w:p w14:paraId="11A4F879" w14:textId="1010E463" w:rsidR="00E346B5" w:rsidRPr="00D06CB8" w:rsidRDefault="00E346B5" w:rsidP="6F994DCF">
      <w:pPr>
        <w:pStyle w:val="Prrafodelista"/>
        <w:numPr>
          <w:ilvl w:val="0"/>
          <w:numId w:val="19"/>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 Los testimonios de Luis Alfonso Guerra, Agustín Sánchez Penagos y </w:t>
      </w:r>
      <w:r w:rsidRPr="00D06CB8">
        <w:rPr>
          <w:rFonts w:ascii="Bookman Old Style" w:eastAsia="Calibri" w:hAnsi="Bookman Old Style"/>
          <w:smallCaps/>
          <w:sz w:val="27"/>
          <w:szCs w:val="27"/>
          <w:lang w:val="es-ES" w:eastAsia="es-ES"/>
        </w:rPr>
        <w:t>Armando Loaiza Céspedes</w:t>
      </w:r>
      <w:r w:rsidRPr="00D06CB8">
        <w:rPr>
          <w:rFonts w:ascii="Bookman Old Style" w:eastAsia="Calibri" w:hAnsi="Bookman Old Style"/>
          <w:sz w:val="27"/>
          <w:szCs w:val="27"/>
          <w:lang w:val="es-ES" w:eastAsia="es-ES"/>
        </w:rPr>
        <w:t xml:space="preserve">, junto con los documentos incorporados por Hugo Alejandro Mora Pérez, </w:t>
      </w:r>
      <w:r w:rsidR="006830BA" w:rsidRPr="00D06CB8">
        <w:rPr>
          <w:rFonts w:ascii="Bookman Old Style" w:eastAsia="Calibri" w:hAnsi="Bookman Old Style"/>
          <w:sz w:val="27"/>
          <w:szCs w:val="27"/>
          <w:lang w:val="es-ES" w:eastAsia="es-ES"/>
        </w:rPr>
        <w:t>indican</w:t>
      </w:r>
      <w:r w:rsidRPr="00D06CB8">
        <w:rPr>
          <w:rFonts w:ascii="Bookman Old Style" w:eastAsia="Calibri" w:hAnsi="Bookman Old Style"/>
          <w:sz w:val="27"/>
          <w:szCs w:val="27"/>
          <w:lang w:val="es-ES" w:eastAsia="es-ES"/>
        </w:rPr>
        <w:t xml:space="preserve"> la tesis defensiva sobre la supuesta pertenencia de los terrenos al embalse de Hidroprado</w:t>
      </w:r>
      <w:r w:rsidR="005162FC" w:rsidRPr="00D06CB8">
        <w:rPr>
          <w:rFonts w:ascii="Bookman Old Style" w:eastAsia="Calibri" w:hAnsi="Bookman Old Style"/>
          <w:sz w:val="27"/>
          <w:szCs w:val="27"/>
          <w:lang w:val="es-ES" w:eastAsia="es-ES"/>
        </w:rPr>
        <w:t>, propiedad de EPSA</w:t>
      </w:r>
      <w:r w:rsidR="7041201C" w:rsidRPr="00D06CB8">
        <w:rPr>
          <w:rFonts w:ascii="Bookman Old Style" w:eastAsia="Calibri" w:hAnsi="Bookman Old Style"/>
          <w:sz w:val="27"/>
          <w:szCs w:val="27"/>
          <w:lang w:val="es-ES" w:eastAsia="es-ES"/>
        </w:rPr>
        <w:t xml:space="preserve">. </w:t>
      </w:r>
      <w:r w:rsidRPr="00D06CB8">
        <w:rPr>
          <w:rFonts w:ascii="Bookman Old Style" w:eastAsia="Calibri" w:hAnsi="Bookman Old Style"/>
          <w:sz w:val="27"/>
          <w:szCs w:val="27"/>
          <w:lang w:val="es-ES" w:eastAsia="es-ES"/>
        </w:rPr>
        <w:t xml:space="preserve">Sin embargo, todo ello no acredita que las franjas ocupadas formen parte del predio de la represa ni logra restar la fuerza </w:t>
      </w:r>
      <w:r w:rsidR="00FC71AC" w:rsidRPr="00D06CB8">
        <w:rPr>
          <w:rFonts w:ascii="Bookman Old Style" w:eastAsia="Calibri" w:hAnsi="Bookman Old Style"/>
          <w:sz w:val="27"/>
          <w:szCs w:val="27"/>
          <w:lang w:val="es-ES" w:eastAsia="es-ES"/>
        </w:rPr>
        <w:t xml:space="preserve">probatoria </w:t>
      </w:r>
      <w:r w:rsidRPr="00D06CB8">
        <w:rPr>
          <w:rFonts w:ascii="Bookman Old Style" w:eastAsia="Calibri" w:hAnsi="Bookman Old Style"/>
          <w:sz w:val="27"/>
          <w:szCs w:val="27"/>
          <w:lang w:val="es-ES" w:eastAsia="es-ES"/>
        </w:rPr>
        <w:t>de los títulos, del certificado de tradición, del acta de entrega y de la restante prueba de cargo.</w:t>
      </w:r>
    </w:p>
    <w:p w14:paraId="1D68B3E7" w14:textId="46FD9F29" w:rsidR="00E346B5" w:rsidRPr="00D06CB8" w:rsidRDefault="00E346B5" w:rsidP="0056217D">
      <w:pPr>
        <w:pStyle w:val="Prrafodelista"/>
        <w:numPr>
          <w:ilvl w:val="0"/>
          <w:numId w:val="19"/>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lastRenderedPageBreak/>
        <w:t xml:space="preserve">La primera debilidad aparece en la prueba documental que la defensa invoca como fundamento de su relato. Las escrituras 820 de 1978, 4457 de 2007 y 9533 de 2007 no revelan que el predio </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h</w:t>
      </w:r>
      <w:r w:rsidR="006830BA" w:rsidRPr="00D06CB8">
        <w:rPr>
          <w:rFonts w:ascii="Bookman Old Style" w:eastAsia="Calibri" w:hAnsi="Bookman Old Style"/>
          <w:sz w:val="27"/>
          <w:szCs w:val="27"/>
          <w:lang w:eastAsia="es-ES"/>
        </w:rPr>
        <w:t>ay</w:t>
      </w:r>
      <w:r w:rsidRPr="00D06CB8">
        <w:rPr>
          <w:rFonts w:ascii="Bookman Old Style" w:eastAsia="Calibri" w:hAnsi="Bookman Old Style"/>
          <w:sz w:val="27"/>
          <w:szCs w:val="27"/>
          <w:lang w:eastAsia="es-ES"/>
        </w:rPr>
        <w:t xml:space="preserve">a ingresado al patrimonio de la represa. </w:t>
      </w:r>
    </w:p>
    <w:p w14:paraId="54CA72D8" w14:textId="77777777" w:rsidR="00E346B5" w:rsidRPr="00D06CB8" w:rsidRDefault="00E346B5" w:rsidP="0056217D">
      <w:pPr>
        <w:pStyle w:val="Prrafodelista"/>
        <w:spacing w:after="0" w:line="360" w:lineRule="auto"/>
        <w:ind w:left="0" w:firstLine="567"/>
        <w:rPr>
          <w:rFonts w:ascii="Bookman Old Style" w:eastAsia="Calibri" w:hAnsi="Bookman Old Style"/>
          <w:sz w:val="27"/>
          <w:szCs w:val="27"/>
          <w:lang w:eastAsia="es-ES"/>
        </w:rPr>
      </w:pPr>
    </w:p>
    <w:p w14:paraId="1BF2E297" w14:textId="2C560FAC" w:rsidR="00E346B5" w:rsidRPr="00D06CB8" w:rsidRDefault="00E346B5" w:rsidP="0056217D">
      <w:pPr>
        <w:pStyle w:val="Prrafodelista"/>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Esas escrituras aluden a predios y mejoras ubicados en el municipio de Prado, dentro del área inundada o inundable del embalse, y no al inmueble rural ubicado en Purificación, con matrícula propia, cabida definida y linderos históricamente constantes. Por eso, la defensa parte de una identificación que los propios documentos no </w:t>
      </w:r>
      <w:r w:rsidR="006830BA" w:rsidRPr="00D06CB8">
        <w:rPr>
          <w:rFonts w:ascii="Bookman Old Style" w:eastAsia="Calibri" w:hAnsi="Bookman Old Style"/>
          <w:sz w:val="27"/>
          <w:szCs w:val="27"/>
          <w:lang w:eastAsia="es-ES"/>
        </w:rPr>
        <w:t>revelan</w:t>
      </w:r>
      <w:r w:rsidRPr="00D06CB8">
        <w:rPr>
          <w:rFonts w:ascii="Bookman Old Style" w:eastAsia="Calibri" w:hAnsi="Bookman Old Style"/>
          <w:sz w:val="27"/>
          <w:szCs w:val="27"/>
          <w:lang w:eastAsia="es-ES"/>
        </w:rPr>
        <w:t>.</w:t>
      </w:r>
    </w:p>
    <w:p w14:paraId="4FEB6CD5" w14:textId="77777777" w:rsidR="00E346B5" w:rsidRPr="00D06CB8" w:rsidRDefault="00E346B5" w:rsidP="0056217D">
      <w:pPr>
        <w:spacing w:after="0" w:line="360" w:lineRule="auto"/>
        <w:ind w:firstLine="567"/>
        <w:contextualSpacing/>
        <w:jc w:val="both"/>
        <w:rPr>
          <w:rFonts w:ascii="Bookman Old Style" w:eastAsia="Calibri" w:hAnsi="Bookman Old Style"/>
          <w:sz w:val="27"/>
          <w:szCs w:val="27"/>
          <w:lang w:eastAsia="es-ES"/>
        </w:rPr>
      </w:pPr>
    </w:p>
    <w:p w14:paraId="15BB0724" w14:textId="2C23F52E" w:rsidR="00E346B5" w:rsidRPr="00D06CB8" w:rsidRDefault="00E346B5" w:rsidP="0056217D">
      <w:pPr>
        <w:pStyle w:val="Prrafodelista"/>
        <w:numPr>
          <w:ilvl w:val="0"/>
          <w:numId w:val="19"/>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Esa conclusión adquiere mayor fuerza porque tales escrituras indican, en varios apartes de mejoras denominadas “Las </w:t>
      </w:r>
      <w:r w:rsidR="009530FF" w:rsidRPr="00D06CB8">
        <w:rPr>
          <w:rFonts w:ascii="Bookman Old Style" w:eastAsia="Calibri" w:hAnsi="Bookman Old Style"/>
          <w:sz w:val="27"/>
          <w:szCs w:val="27"/>
          <w:lang w:eastAsia="es-ES"/>
        </w:rPr>
        <w:t xml:space="preserve">Mercedes”, pero, de una lectura de las escrituras, </w:t>
      </w:r>
      <w:r w:rsidR="266DC0E3" w:rsidRPr="00D06CB8">
        <w:rPr>
          <w:rFonts w:ascii="Bookman Old Style" w:eastAsia="Calibri" w:hAnsi="Bookman Old Style"/>
          <w:sz w:val="27"/>
          <w:szCs w:val="27"/>
          <w:lang w:eastAsia="es-ES"/>
        </w:rPr>
        <w:t xml:space="preserve">se infiere que </w:t>
      </w:r>
      <w:r w:rsidR="009530FF" w:rsidRPr="00D06CB8">
        <w:rPr>
          <w:rFonts w:ascii="Bookman Old Style" w:eastAsia="Calibri" w:hAnsi="Bookman Old Style"/>
          <w:sz w:val="27"/>
          <w:szCs w:val="27"/>
          <w:lang w:eastAsia="es-ES"/>
        </w:rPr>
        <w:t>estas fueron llamadas así, m</w:t>
      </w:r>
      <w:r w:rsidR="00DD51B7" w:rsidRPr="00D06CB8">
        <w:rPr>
          <w:rFonts w:ascii="Bookman Old Style" w:eastAsia="Calibri" w:hAnsi="Bookman Old Style"/>
          <w:sz w:val="27"/>
          <w:szCs w:val="27"/>
          <w:lang w:eastAsia="es-ES"/>
        </w:rPr>
        <w:t>a</w:t>
      </w:r>
      <w:r w:rsidR="009530FF" w:rsidRPr="00D06CB8">
        <w:rPr>
          <w:rFonts w:ascii="Bookman Old Style" w:eastAsia="Calibri" w:hAnsi="Bookman Old Style"/>
          <w:sz w:val="27"/>
          <w:szCs w:val="27"/>
          <w:lang w:eastAsia="es-ES"/>
        </w:rPr>
        <w:t xml:space="preserve">s no correspondían ni recaían en </w:t>
      </w:r>
      <w:r w:rsidRPr="00D06CB8">
        <w:rPr>
          <w:rFonts w:ascii="Bookman Old Style" w:eastAsia="Calibri" w:hAnsi="Bookman Old Style"/>
          <w:sz w:val="27"/>
          <w:szCs w:val="27"/>
          <w:lang w:eastAsia="es-ES"/>
        </w:rPr>
        <w:t xml:space="preserve">el predio </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6830B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w:t>
      </w:r>
      <w:r w:rsidR="009530FF" w:rsidRPr="00D06CB8">
        <w:rPr>
          <w:rFonts w:ascii="Bookman Old Style" w:eastAsia="Calibri" w:hAnsi="Bookman Old Style"/>
          <w:sz w:val="27"/>
          <w:szCs w:val="27"/>
          <w:lang w:eastAsia="es-ES"/>
        </w:rPr>
        <w:t xml:space="preserve">que es sobre el que </w:t>
      </w:r>
      <w:r w:rsidRPr="00D06CB8">
        <w:rPr>
          <w:rFonts w:ascii="Bookman Old Style" w:eastAsia="Calibri" w:hAnsi="Bookman Old Style"/>
          <w:sz w:val="27"/>
          <w:szCs w:val="27"/>
          <w:lang w:eastAsia="es-ES"/>
        </w:rPr>
        <w:t>inte</w:t>
      </w:r>
      <w:r w:rsidR="00DD51B7" w:rsidRPr="00D06CB8">
        <w:rPr>
          <w:rFonts w:ascii="Bookman Old Style" w:eastAsia="Calibri" w:hAnsi="Bookman Old Style"/>
          <w:sz w:val="27"/>
          <w:szCs w:val="27"/>
          <w:lang w:eastAsia="es-ES"/>
        </w:rPr>
        <w:t>resa</w:t>
      </w:r>
      <w:r w:rsidRPr="00D06CB8">
        <w:rPr>
          <w:rFonts w:ascii="Bookman Old Style" w:eastAsia="Calibri" w:hAnsi="Bookman Old Style"/>
          <w:sz w:val="27"/>
          <w:szCs w:val="27"/>
          <w:lang w:eastAsia="es-ES"/>
        </w:rPr>
        <w:t xml:space="preserve"> este proceso. Una cosa es la compra o transferencia de mejoras levantadas en el área del embalse; otra, muy distinta, es el dominio sobre el inmueble de Purificación que la querellante </w:t>
      </w:r>
      <w:r w:rsidR="00CE3C75" w:rsidRPr="00D06CB8">
        <w:rPr>
          <w:rFonts w:ascii="Bookman Old Style" w:eastAsia="Calibri" w:hAnsi="Bookman Old Style"/>
          <w:sz w:val="27"/>
          <w:szCs w:val="27"/>
          <w:lang w:eastAsia="es-ES"/>
        </w:rPr>
        <w:t>adquirió</w:t>
      </w:r>
      <w:r w:rsidRPr="00D06CB8">
        <w:rPr>
          <w:rFonts w:ascii="Bookman Old Style" w:eastAsia="Calibri" w:hAnsi="Bookman Old Style"/>
          <w:sz w:val="27"/>
          <w:szCs w:val="27"/>
          <w:lang w:eastAsia="es-ES"/>
        </w:rPr>
        <w:t xml:space="preserve"> por remate. La defensa borra esa distinción y, a partir de allí, construye una equivalencia que el expediente no respalda.</w:t>
      </w:r>
    </w:p>
    <w:p w14:paraId="430DA8CD" w14:textId="77777777" w:rsidR="00E346B5" w:rsidRPr="00D06CB8" w:rsidRDefault="00E346B5" w:rsidP="0056217D">
      <w:pPr>
        <w:spacing w:after="0" w:line="360" w:lineRule="auto"/>
        <w:ind w:firstLine="567"/>
        <w:contextualSpacing/>
        <w:jc w:val="both"/>
        <w:rPr>
          <w:rFonts w:ascii="Bookman Old Style" w:eastAsia="Calibri" w:hAnsi="Bookman Old Style"/>
          <w:sz w:val="27"/>
          <w:szCs w:val="27"/>
          <w:lang w:eastAsia="es-ES"/>
        </w:rPr>
      </w:pPr>
    </w:p>
    <w:p w14:paraId="198272B4" w14:textId="77777777" w:rsidR="00E346B5" w:rsidRPr="00D06CB8" w:rsidRDefault="00E346B5" w:rsidP="0056217D">
      <w:pPr>
        <w:pStyle w:val="Prrafodelista"/>
        <w:numPr>
          <w:ilvl w:val="0"/>
          <w:numId w:val="19"/>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La referencia insistente a la cota 367, a los mojones o a los niveles del agua tampoco suple esa falta de soporte. Los testimonios ubican la ocupación en terrenos bajos y la asocian con puntos que la comunidad identifica con la represa. </w:t>
      </w:r>
    </w:p>
    <w:p w14:paraId="3C77125F" w14:textId="77777777" w:rsidR="00E346B5" w:rsidRPr="00D06CB8" w:rsidRDefault="00E346B5" w:rsidP="0056217D">
      <w:pPr>
        <w:pStyle w:val="Prrafodelista"/>
        <w:spacing w:after="0" w:line="360" w:lineRule="auto"/>
        <w:ind w:left="0" w:firstLine="567"/>
        <w:rPr>
          <w:rFonts w:ascii="Bookman Old Style" w:eastAsia="Calibri" w:hAnsi="Bookman Old Style"/>
          <w:sz w:val="27"/>
          <w:szCs w:val="27"/>
          <w:lang w:eastAsia="es-ES"/>
        </w:rPr>
      </w:pPr>
    </w:p>
    <w:p w14:paraId="7E118734" w14:textId="7BF023F7" w:rsidR="00E346B5" w:rsidRPr="00D06CB8" w:rsidRDefault="00E346B5" w:rsidP="0056217D">
      <w:pPr>
        <w:pStyle w:val="Prrafodelista"/>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lastRenderedPageBreak/>
        <w:t>No obstante, esos relatos solo expresan una percepción local sobre el uso del terreno. No fijan linderos jurídicos, no acreditan dominio</w:t>
      </w:r>
      <w:r w:rsidR="4D37928B" w:rsidRPr="00D06CB8">
        <w:rPr>
          <w:rFonts w:ascii="Bookman Old Style" w:eastAsia="Calibri" w:hAnsi="Bookman Old Style"/>
          <w:sz w:val="27"/>
          <w:szCs w:val="27"/>
          <w:lang w:eastAsia="es-ES"/>
        </w:rPr>
        <w:t xml:space="preserve"> ni posesión legítima</w:t>
      </w:r>
      <w:r w:rsidRPr="00D06CB8">
        <w:rPr>
          <w:rFonts w:ascii="Bookman Old Style" w:eastAsia="Calibri" w:hAnsi="Bookman Old Style"/>
          <w:sz w:val="27"/>
          <w:szCs w:val="27"/>
          <w:lang w:eastAsia="es-ES"/>
        </w:rPr>
        <w:t xml:space="preserve"> y no conectan de manera precisa esa franja con el predio </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de la querellante. La </w:t>
      </w:r>
      <w:r w:rsidR="007036AA" w:rsidRPr="00D06CB8">
        <w:rPr>
          <w:rFonts w:ascii="Bookman Old Style" w:eastAsia="Calibri" w:hAnsi="Bookman Old Style"/>
          <w:sz w:val="27"/>
          <w:szCs w:val="27"/>
          <w:lang w:eastAsia="es-ES"/>
        </w:rPr>
        <w:t>defensa</w:t>
      </w:r>
      <w:r w:rsidRPr="00D06CB8">
        <w:rPr>
          <w:rFonts w:ascii="Bookman Old Style" w:eastAsia="Calibri" w:hAnsi="Bookman Old Style"/>
          <w:sz w:val="27"/>
          <w:szCs w:val="27"/>
          <w:lang w:eastAsia="es-ES"/>
        </w:rPr>
        <w:t xml:space="preserve"> no documenta que el inmueble objeto del proceso haya sido adquirido como parte del área inundada o inundable del embalse.</w:t>
      </w:r>
      <w:r w:rsidR="00DD51B7" w:rsidRPr="00D06CB8">
        <w:rPr>
          <w:rFonts w:ascii="Bookman Old Style" w:eastAsia="Calibri" w:hAnsi="Bookman Old Style"/>
          <w:sz w:val="27"/>
          <w:szCs w:val="27"/>
          <w:lang w:eastAsia="es-ES"/>
        </w:rPr>
        <w:t xml:space="preserve"> En todo caso, las restricciones atinentes a la cota 367 le incumben a la propietaria y sus derechos de explotación de su terreno, de ninguna manera esa restricción es una autorización para que terceros invadan su terreno. </w:t>
      </w:r>
    </w:p>
    <w:p w14:paraId="017CC1B7" w14:textId="77777777" w:rsidR="00E346B5" w:rsidRPr="00D06CB8" w:rsidRDefault="00E346B5" w:rsidP="0056217D">
      <w:pPr>
        <w:spacing w:after="0" w:line="360" w:lineRule="auto"/>
        <w:ind w:firstLine="567"/>
        <w:contextualSpacing/>
        <w:jc w:val="both"/>
        <w:rPr>
          <w:rFonts w:ascii="Bookman Old Style" w:eastAsia="Calibri" w:hAnsi="Bookman Old Style"/>
          <w:sz w:val="27"/>
          <w:szCs w:val="27"/>
          <w:lang w:eastAsia="es-ES"/>
        </w:rPr>
      </w:pPr>
    </w:p>
    <w:p w14:paraId="7DF2570F" w14:textId="546DB4F2" w:rsidR="00E346B5" w:rsidRPr="00D06CB8" w:rsidRDefault="00E346B5" w:rsidP="0056217D">
      <w:pPr>
        <w:pStyle w:val="Prrafodelista"/>
        <w:numPr>
          <w:ilvl w:val="0"/>
          <w:numId w:val="19"/>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La Resolución 004 del 1º de junio de 2018 tampoco </w:t>
      </w:r>
      <w:r w:rsidR="00CE3C75" w:rsidRPr="00D06CB8">
        <w:rPr>
          <w:rFonts w:ascii="Bookman Old Style" w:eastAsia="Calibri" w:hAnsi="Bookman Old Style"/>
          <w:sz w:val="27"/>
          <w:szCs w:val="27"/>
          <w:lang w:eastAsia="es-ES"/>
        </w:rPr>
        <w:t>tiene</w:t>
      </w:r>
      <w:r w:rsidRPr="00D06CB8">
        <w:rPr>
          <w:rFonts w:ascii="Bookman Old Style" w:eastAsia="Calibri" w:hAnsi="Bookman Old Style"/>
          <w:sz w:val="27"/>
          <w:szCs w:val="27"/>
          <w:lang w:eastAsia="es-ES"/>
        </w:rPr>
        <w:t xml:space="preserve"> el alcance que la defensa le atribuye. La Corte recuerda que esa actuación surg</w:t>
      </w:r>
      <w:r w:rsidR="00CE3C75" w:rsidRPr="00D06CB8">
        <w:rPr>
          <w:rFonts w:ascii="Bookman Old Style" w:eastAsia="Calibri" w:hAnsi="Bookman Old Style"/>
          <w:sz w:val="27"/>
          <w:szCs w:val="27"/>
          <w:lang w:eastAsia="es-ES"/>
        </w:rPr>
        <w:t>ió</w:t>
      </w:r>
      <w:r w:rsidRPr="00D06CB8">
        <w:rPr>
          <w:rFonts w:ascii="Bookman Old Style" w:eastAsia="Calibri" w:hAnsi="Bookman Old Style"/>
          <w:sz w:val="27"/>
          <w:szCs w:val="27"/>
          <w:lang w:eastAsia="es-ES"/>
        </w:rPr>
        <w:t xml:space="preserve"> </w:t>
      </w:r>
      <w:r w:rsidR="009530FF" w:rsidRPr="00D06CB8">
        <w:rPr>
          <w:rFonts w:ascii="Bookman Old Style" w:eastAsia="Calibri" w:hAnsi="Bookman Old Style"/>
          <w:sz w:val="27"/>
          <w:szCs w:val="27"/>
          <w:lang w:eastAsia="es-ES"/>
        </w:rPr>
        <w:t xml:space="preserve">en </w:t>
      </w:r>
      <w:r w:rsidRPr="00D06CB8">
        <w:rPr>
          <w:rFonts w:ascii="Bookman Old Style" w:eastAsia="Calibri" w:hAnsi="Bookman Old Style"/>
          <w:sz w:val="27"/>
          <w:szCs w:val="27"/>
          <w:lang w:eastAsia="es-ES"/>
        </w:rPr>
        <w:t xml:space="preserve">el trámite policivo adelantado por perturbación </w:t>
      </w:r>
      <w:r w:rsidR="002D64F0" w:rsidRPr="00D06CB8">
        <w:rPr>
          <w:rFonts w:ascii="Bookman Old Style" w:eastAsia="Calibri" w:hAnsi="Bookman Old Style"/>
          <w:sz w:val="27"/>
          <w:szCs w:val="27"/>
          <w:lang w:eastAsia="es-ES"/>
        </w:rPr>
        <w:t>de</w:t>
      </w:r>
      <w:r w:rsidRPr="00D06CB8">
        <w:rPr>
          <w:rFonts w:ascii="Bookman Old Style" w:eastAsia="Calibri" w:hAnsi="Bookman Old Style"/>
          <w:sz w:val="27"/>
          <w:szCs w:val="27"/>
          <w:lang w:eastAsia="es-ES"/>
        </w:rPr>
        <w:t xml:space="preserve"> la posesión </w:t>
      </w:r>
      <w:r w:rsidR="002D64F0" w:rsidRPr="00D06CB8">
        <w:rPr>
          <w:rFonts w:ascii="Bookman Old Style" w:eastAsia="Calibri" w:hAnsi="Bookman Old Style"/>
          <w:sz w:val="27"/>
          <w:szCs w:val="27"/>
          <w:lang w:eastAsia="es-ES"/>
        </w:rPr>
        <w:t>en</w:t>
      </w:r>
      <w:r w:rsidRPr="00D06CB8">
        <w:rPr>
          <w:rFonts w:ascii="Bookman Old Style" w:eastAsia="Calibri" w:hAnsi="Bookman Old Style"/>
          <w:sz w:val="27"/>
          <w:szCs w:val="27"/>
          <w:lang w:eastAsia="es-ES"/>
        </w:rPr>
        <w:t xml:space="preserve"> </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En ese contexto, la resolución no define el dominio en favor de la represa ni desplaza la titularidad de la querellante. </w:t>
      </w:r>
    </w:p>
    <w:p w14:paraId="69ECC604" w14:textId="77777777" w:rsidR="00E346B5" w:rsidRPr="00D06CB8" w:rsidRDefault="00E346B5" w:rsidP="0056217D">
      <w:pPr>
        <w:pStyle w:val="Prrafodelista"/>
        <w:spacing w:after="0" w:line="360" w:lineRule="auto"/>
        <w:ind w:left="0" w:firstLine="567"/>
        <w:jc w:val="both"/>
        <w:rPr>
          <w:rFonts w:ascii="Bookman Old Style" w:eastAsia="Calibri" w:hAnsi="Bookman Old Style"/>
          <w:sz w:val="27"/>
          <w:szCs w:val="27"/>
          <w:lang w:eastAsia="es-ES"/>
        </w:rPr>
      </w:pPr>
    </w:p>
    <w:p w14:paraId="2A204BA5" w14:textId="4A01871B" w:rsidR="00E346B5" w:rsidRPr="00D06CB8" w:rsidRDefault="00E346B5" w:rsidP="6F994DCF">
      <w:pPr>
        <w:pStyle w:val="Prrafodelista"/>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La lectura completa del trámite muestra, por el contrario, que la controversia administrativa gira alrededor de actos de ocupación en el predio de Martha Lucía Montiel Morales, hasta el punto de ordenarse a </w:t>
      </w:r>
      <w:r w:rsidRPr="00D06CB8">
        <w:rPr>
          <w:rFonts w:ascii="Bookman Old Style" w:eastAsia="Calibri" w:hAnsi="Bookman Old Style"/>
          <w:smallCaps/>
          <w:sz w:val="27"/>
          <w:szCs w:val="27"/>
          <w:lang w:val="es-ES" w:eastAsia="es-ES"/>
        </w:rPr>
        <w:t>Armando Loaiza Céspedes</w:t>
      </w:r>
      <w:r w:rsidRPr="00D06CB8">
        <w:rPr>
          <w:rFonts w:ascii="Bookman Old Style" w:eastAsia="Calibri" w:hAnsi="Bookman Old Style"/>
          <w:sz w:val="27"/>
          <w:szCs w:val="27"/>
          <w:lang w:val="es-ES" w:eastAsia="es-ES"/>
        </w:rPr>
        <w:t xml:space="preserve"> cesar esos actos. Por eso, la defensa no puede convertir una decisión administrativa puntual en </w:t>
      </w:r>
      <w:r w:rsidR="007036AA" w:rsidRPr="00D06CB8">
        <w:rPr>
          <w:rFonts w:ascii="Bookman Old Style" w:eastAsia="Calibri" w:hAnsi="Bookman Old Style"/>
          <w:sz w:val="27"/>
          <w:szCs w:val="27"/>
          <w:lang w:val="es-ES" w:eastAsia="es-ES"/>
        </w:rPr>
        <w:t xml:space="preserve">una </w:t>
      </w:r>
      <w:r w:rsidRPr="00D06CB8">
        <w:rPr>
          <w:rFonts w:ascii="Bookman Old Style" w:eastAsia="Calibri" w:hAnsi="Bookman Old Style"/>
          <w:sz w:val="27"/>
          <w:szCs w:val="27"/>
          <w:lang w:val="es-ES" w:eastAsia="es-ES"/>
        </w:rPr>
        <w:t xml:space="preserve">prueba </w:t>
      </w:r>
      <w:r w:rsidR="007036AA" w:rsidRPr="00D06CB8">
        <w:rPr>
          <w:rFonts w:ascii="Bookman Old Style" w:eastAsia="Calibri" w:hAnsi="Bookman Old Style"/>
          <w:sz w:val="27"/>
          <w:szCs w:val="27"/>
          <w:lang w:val="es-ES" w:eastAsia="es-ES"/>
        </w:rPr>
        <w:t>acerca de</w:t>
      </w:r>
      <w:r w:rsidRPr="00D06CB8">
        <w:rPr>
          <w:rFonts w:ascii="Bookman Old Style" w:eastAsia="Calibri" w:hAnsi="Bookman Old Style"/>
          <w:sz w:val="27"/>
          <w:szCs w:val="27"/>
          <w:lang w:val="es-ES" w:eastAsia="es-ES"/>
        </w:rPr>
        <w:t xml:space="preserve"> la pertenencia del terreno al embalse.</w:t>
      </w:r>
    </w:p>
    <w:p w14:paraId="3402BB55" w14:textId="77777777" w:rsidR="00E346B5" w:rsidRPr="00D06CB8" w:rsidRDefault="00E346B5" w:rsidP="0056217D">
      <w:pPr>
        <w:spacing w:after="0" w:line="360" w:lineRule="auto"/>
        <w:ind w:firstLine="567"/>
        <w:contextualSpacing/>
        <w:jc w:val="both"/>
        <w:rPr>
          <w:rFonts w:ascii="Bookman Old Style" w:eastAsia="Calibri" w:hAnsi="Bookman Old Style"/>
          <w:sz w:val="27"/>
          <w:szCs w:val="27"/>
          <w:lang w:eastAsia="es-ES"/>
        </w:rPr>
      </w:pPr>
    </w:p>
    <w:p w14:paraId="73CAA136" w14:textId="2CFAA13D" w:rsidR="00E346B5" w:rsidRPr="00D06CB8" w:rsidRDefault="00E346B5" w:rsidP="6F994DCF">
      <w:pPr>
        <w:pStyle w:val="Prrafodelista"/>
        <w:numPr>
          <w:ilvl w:val="0"/>
          <w:numId w:val="19"/>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Luis Alfonso Guerra y Agustín Sánchez Penagos sostienen que los acusados cultivan en terrenos de la represa y que la comunidad así los reconoce. </w:t>
      </w:r>
      <w:r w:rsidRPr="00D06CB8">
        <w:rPr>
          <w:rFonts w:ascii="Bookman Old Style" w:eastAsia="Calibri" w:hAnsi="Bookman Old Style"/>
          <w:smallCaps/>
          <w:sz w:val="27"/>
          <w:szCs w:val="27"/>
          <w:lang w:val="es-ES" w:eastAsia="es-ES"/>
        </w:rPr>
        <w:t>Armando Loaiza Céspedes</w:t>
      </w:r>
      <w:r w:rsidRPr="00D06CB8">
        <w:rPr>
          <w:rFonts w:ascii="Bookman Old Style" w:eastAsia="Calibri" w:hAnsi="Bookman Old Style"/>
          <w:sz w:val="27"/>
          <w:szCs w:val="27"/>
          <w:lang w:val="es-ES" w:eastAsia="es-ES"/>
        </w:rPr>
        <w:t xml:space="preserve"> </w:t>
      </w:r>
      <w:r w:rsidRPr="00D06CB8">
        <w:rPr>
          <w:rFonts w:ascii="Bookman Old Style" w:eastAsia="Calibri" w:hAnsi="Bookman Old Style"/>
          <w:sz w:val="27"/>
          <w:szCs w:val="27"/>
          <w:lang w:val="es-ES" w:eastAsia="es-ES"/>
        </w:rPr>
        <w:lastRenderedPageBreak/>
        <w:t xml:space="preserve">insiste en la misma idea y la apoya </w:t>
      </w:r>
      <w:r w:rsidR="009530FF" w:rsidRPr="00D06CB8">
        <w:rPr>
          <w:rFonts w:ascii="Bookman Old Style" w:eastAsia="Calibri" w:hAnsi="Bookman Old Style"/>
          <w:sz w:val="27"/>
          <w:szCs w:val="27"/>
          <w:lang w:val="es-ES" w:eastAsia="es-ES"/>
        </w:rPr>
        <w:t xml:space="preserve">con </w:t>
      </w:r>
      <w:r w:rsidRPr="00D06CB8">
        <w:rPr>
          <w:rFonts w:ascii="Bookman Old Style" w:eastAsia="Calibri" w:hAnsi="Bookman Old Style"/>
          <w:sz w:val="27"/>
          <w:szCs w:val="27"/>
          <w:lang w:val="es-ES" w:eastAsia="es-ES"/>
        </w:rPr>
        <w:t xml:space="preserve">certificados y en la extensión que atribuye a la empresa energética. </w:t>
      </w:r>
    </w:p>
    <w:p w14:paraId="31AE76A5" w14:textId="77777777" w:rsidR="00E346B5" w:rsidRPr="00D06CB8" w:rsidRDefault="00E346B5" w:rsidP="0056217D">
      <w:pPr>
        <w:pStyle w:val="Prrafodelista"/>
        <w:spacing w:after="0" w:line="360" w:lineRule="auto"/>
        <w:ind w:left="0" w:firstLine="567"/>
        <w:jc w:val="both"/>
        <w:rPr>
          <w:rFonts w:ascii="Bookman Old Style" w:eastAsia="Calibri" w:hAnsi="Bookman Old Style"/>
          <w:sz w:val="27"/>
          <w:szCs w:val="27"/>
          <w:lang w:eastAsia="es-ES"/>
        </w:rPr>
      </w:pPr>
    </w:p>
    <w:p w14:paraId="67D9684E" w14:textId="6CAE97FA" w:rsidR="00E346B5" w:rsidRPr="00D06CB8" w:rsidRDefault="00E346B5" w:rsidP="0056217D">
      <w:pPr>
        <w:pStyle w:val="Prrafodelista"/>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Sin embargo, esas afirmaciones no pasan de ser una explicación subjetiva sobre el origen del conflicto. No identifican un título que comprenda el predio de Purificación, no modifican la tradición registral de </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y no desvirtúan que sus linderos permanecen inalterados desde 1954. </w:t>
      </w:r>
    </w:p>
    <w:p w14:paraId="1A837847" w14:textId="77777777" w:rsidR="00E346B5" w:rsidRPr="00D06CB8" w:rsidRDefault="00E346B5" w:rsidP="0056217D">
      <w:pPr>
        <w:spacing w:after="0" w:line="360" w:lineRule="auto"/>
        <w:ind w:firstLine="567"/>
        <w:contextualSpacing/>
        <w:jc w:val="both"/>
        <w:rPr>
          <w:rFonts w:ascii="Bookman Old Style" w:eastAsia="Calibri" w:hAnsi="Bookman Old Style"/>
          <w:sz w:val="27"/>
          <w:szCs w:val="27"/>
          <w:lang w:eastAsia="es-ES"/>
        </w:rPr>
      </w:pPr>
    </w:p>
    <w:p w14:paraId="7F68B2FA" w14:textId="148D822D" w:rsidR="00E346B5" w:rsidRPr="00D06CB8" w:rsidRDefault="00E346B5" w:rsidP="0056217D">
      <w:pPr>
        <w:pStyle w:val="Prrafodelista"/>
        <w:numPr>
          <w:ilvl w:val="0"/>
          <w:numId w:val="19"/>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A ello se suma un dato definitivo: la diligencia de entrega del 31 de enero de 2014</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w:t>
      </w:r>
      <w:r w:rsidR="007036AA" w:rsidRPr="00D06CB8">
        <w:rPr>
          <w:rFonts w:ascii="Bookman Old Style" w:eastAsia="Calibri" w:hAnsi="Bookman Old Style"/>
          <w:sz w:val="27"/>
          <w:szCs w:val="27"/>
          <w:lang w:eastAsia="es-ES"/>
        </w:rPr>
        <w:t>d</w:t>
      </w:r>
      <w:r w:rsidRPr="00D06CB8">
        <w:rPr>
          <w:rFonts w:ascii="Bookman Old Style" w:eastAsia="Calibri" w:hAnsi="Bookman Old Style"/>
          <w:sz w:val="27"/>
          <w:szCs w:val="27"/>
          <w:lang w:eastAsia="es-ES"/>
        </w:rPr>
        <w:t xml:space="preserve">esde ese momento, los acusados conocen que el inmueble adjudicado corresponde a Martha Lucía Montiel Morales. El </w:t>
      </w:r>
      <w:r w:rsidR="00BD1D61" w:rsidRPr="00D06CB8">
        <w:rPr>
          <w:rFonts w:ascii="Bookman Old Style" w:eastAsia="Calibri" w:hAnsi="Bookman Old Style"/>
          <w:sz w:val="27"/>
          <w:szCs w:val="27"/>
          <w:lang w:eastAsia="es-ES"/>
        </w:rPr>
        <w:t>J</w:t>
      </w:r>
      <w:r w:rsidRPr="00D06CB8">
        <w:rPr>
          <w:rFonts w:ascii="Bookman Old Style" w:eastAsia="Calibri" w:hAnsi="Bookman Old Style"/>
          <w:sz w:val="27"/>
          <w:szCs w:val="27"/>
          <w:lang w:eastAsia="es-ES"/>
        </w:rPr>
        <w:t>uzgado recorr</w:t>
      </w:r>
      <w:r w:rsidR="00CE3C75" w:rsidRPr="00D06CB8">
        <w:rPr>
          <w:rFonts w:ascii="Bookman Old Style" w:eastAsia="Calibri" w:hAnsi="Bookman Old Style"/>
          <w:sz w:val="27"/>
          <w:szCs w:val="27"/>
          <w:lang w:eastAsia="es-ES"/>
        </w:rPr>
        <w:t>ió</w:t>
      </w:r>
      <w:r w:rsidRPr="00D06CB8">
        <w:rPr>
          <w:rFonts w:ascii="Bookman Old Style" w:eastAsia="Calibri" w:hAnsi="Bookman Old Style"/>
          <w:sz w:val="27"/>
          <w:szCs w:val="27"/>
          <w:lang w:eastAsia="es-ES"/>
        </w:rPr>
        <w:t xml:space="preserve"> el predio, verific</w:t>
      </w:r>
      <w:r w:rsidR="00CE3C75" w:rsidRPr="00D06CB8">
        <w:rPr>
          <w:rFonts w:ascii="Bookman Old Style" w:eastAsia="Calibri" w:hAnsi="Bookman Old Style"/>
          <w:sz w:val="27"/>
          <w:szCs w:val="27"/>
          <w:lang w:eastAsia="es-ES"/>
        </w:rPr>
        <w:t>ó</w:t>
      </w:r>
      <w:r w:rsidRPr="00D06CB8">
        <w:rPr>
          <w:rFonts w:ascii="Bookman Old Style" w:eastAsia="Calibri" w:hAnsi="Bookman Old Style"/>
          <w:sz w:val="27"/>
          <w:szCs w:val="27"/>
          <w:lang w:eastAsia="es-ES"/>
        </w:rPr>
        <w:t xml:space="preserve"> sus linderos y dej</w:t>
      </w:r>
      <w:r w:rsidR="00CE3C75" w:rsidRPr="00D06CB8">
        <w:rPr>
          <w:rFonts w:ascii="Bookman Old Style" w:eastAsia="Calibri" w:hAnsi="Bookman Old Style"/>
          <w:sz w:val="27"/>
          <w:szCs w:val="27"/>
          <w:lang w:eastAsia="es-ES"/>
        </w:rPr>
        <w:t>ó</w:t>
      </w:r>
      <w:r w:rsidRPr="00D06CB8">
        <w:rPr>
          <w:rFonts w:ascii="Bookman Old Style" w:eastAsia="Calibri" w:hAnsi="Bookman Old Style"/>
          <w:sz w:val="27"/>
          <w:szCs w:val="27"/>
          <w:lang w:eastAsia="es-ES"/>
        </w:rPr>
        <w:t xml:space="preserve"> constancia de la ocupación existente dentro de </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Las Mercedes</w:t>
      </w:r>
      <w:r w:rsidR="007036AA" w:rsidRPr="00D06CB8">
        <w:rPr>
          <w:rFonts w:ascii="Bookman Old Style" w:eastAsia="Calibri" w:hAnsi="Bookman Old Style"/>
          <w:sz w:val="27"/>
          <w:szCs w:val="27"/>
          <w:lang w:eastAsia="es-ES"/>
        </w:rPr>
        <w:t>”</w:t>
      </w:r>
      <w:r w:rsidRPr="00D06CB8">
        <w:rPr>
          <w:rFonts w:ascii="Bookman Old Style" w:eastAsia="Calibri" w:hAnsi="Bookman Old Style"/>
          <w:sz w:val="27"/>
          <w:szCs w:val="27"/>
          <w:lang w:eastAsia="es-ES"/>
        </w:rPr>
        <w:t xml:space="preserve">. </w:t>
      </w:r>
    </w:p>
    <w:p w14:paraId="1CC1B3E5" w14:textId="77777777" w:rsidR="00E346B5" w:rsidRPr="00D06CB8" w:rsidRDefault="00E346B5" w:rsidP="0056217D">
      <w:pPr>
        <w:pStyle w:val="Prrafodelista"/>
        <w:spacing w:after="0" w:line="360" w:lineRule="auto"/>
        <w:ind w:left="0" w:firstLine="567"/>
        <w:jc w:val="both"/>
        <w:rPr>
          <w:rFonts w:ascii="Bookman Old Style" w:eastAsia="Calibri" w:hAnsi="Bookman Old Style"/>
          <w:sz w:val="27"/>
          <w:szCs w:val="27"/>
          <w:lang w:eastAsia="es-ES"/>
        </w:rPr>
      </w:pPr>
    </w:p>
    <w:p w14:paraId="40AA084C" w14:textId="10210BB3" w:rsidR="00E346B5" w:rsidRPr="00D06CB8" w:rsidRDefault="00E346B5" w:rsidP="0056217D">
      <w:pPr>
        <w:pStyle w:val="Prrafodelista"/>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A partir de ese acto judicial, cualquier alegación sobre desconocimiento de la titularidad pierde consistencia. La insistencia posterior en atribuir esos terrenos a la represa no refleja una duda seria sobre la realidad jurídica del inmueble; revela, más bien, el intento de justificar </w:t>
      </w:r>
      <w:r w:rsidR="00DD51B7" w:rsidRPr="00D06CB8">
        <w:rPr>
          <w:rFonts w:ascii="Bookman Old Style" w:eastAsia="Calibri" w:hAnsi="Bookman Old Style"/>
          <w:sz w:val="27"/>
          <w:szCs w:val="27"/>
          <w:lang w:eastAsia="es-ES"/>
        </w:rPr>
        <w:t xml:space="preserve">una interpretación propia sobre los alcances de las cotas y </w:t>
      </w:r>
      <w:r w:rsidRPr="00D06CB8">
        <w:rPr>
          <w:rFonts w:ascii="Bookman Old Style" w:eastAsia="Calibri" w:hAnsi="Bookman Old Style"/>
          <w:sz w:val="27"/>
          <w:szCs w:val="27"/>
          <w:lang w:eastAsia="es-ES"/>
        </w:rPr>
        <w:t>una ocupación que ya aparece enfrentada a títulos públicos y a una entrega material formalmente realizada.</w:t>
      </w:r>
    </w:p>
    <w:p w14:paraId="560D108B" w14:textId="77777777" w:rsidR="00E346B5" w:rsidRPr="00D06CB8" w:rsidRDefault="00E346B5" w:rsidP="0056217D">
      <w:pPr>
        <w:spacing w:after="0" w:line="360" w:lineRule="auto"/>
        <w:ind w:firstLine="567"/>
        <w:contextualSpacing/>
        <w:jc w:val="both"/>
        <w:rPr>
          <w:rFonts w:ascii="Bookman Old Style" w:eastAsia="Calibri" w:hAnsi="Bookman Old Style"/>
          <w:sz w:val="27"/>
          <w:szCs w:val="27"/>
          <w:lang w:eastAsia="es-ES"/>
        </w:rPr>
      </w:pPr>
    </w:p>
    <w:p w14:paraId="2D75EE56" w14:textId="774D198F" w:rsidR="008730EB" w:rsidRPr="00D06CB8" w:rsidRDefault="008730EB" w:rsidP="6F994DCF">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En conclusión, la prueba de la defensa no acreditó que los terrenos ocupados correspondieran al embalse de Hidroprado, de propiedad de EPSA, ni que el predio “Las Mercedes” integrara el área inundada o inundable de la represa. Por el contrario, ese material probatorio confirmó que </w:t>
      </w:r>
      <w:r w:rsidRPr="00D06CB8">
        <w:rPr>
          <w:rFonts w:ascii="Bookman Old Style" w:eastAsia="Calibri" w:hAnsi="Bookman Old Style"/>
          <w:sz w:val="27"/>
          <w:szCs w:val="27"/>
          <w:lang w:val="es-ES" w:eastAsia="es-ES"/>
        </w:rPr>
        <w:lastRenderedPageBreak/>
        <w:t>los acusados siempre reconocieron dominio ajeno, ya lo atribuyeran a EPSA o a la represa. Ese dato, lejos de favorecer su postura, fortaleció la hipótesis de la Fiscalía: los procesados supieron en todo momento que ocupaban un bien ajeno y, aun así, intentaron justificar la invasión con una interpretación personal sobre la forma en que debía operar el derecho de bienes</w:t>
      </w:r>
      <w:r w:rsidR="00E346B5" w:rsidRPr="00D06CB8">
        <w:rPr>
          <w:rFonts w:ascii="Bookman Old Style" w:eastAsia="Calibri" w:hAnsi="Bookman Old Style"/>
          <w:sz w:val="27"/>
          <w:szCs w:val="27"/>
          <w:lang w:val="es-ES" w:eastAsia="es-ES"/>
        </w:rPr>
        <w:t xml:space="preserve">. Por eso, la prueba defensiva no rompe la solidez de la </w:t>
      </w:r>
      <w:r w:rsidR="009530FF" w:rsidRPr="00D06CB8">
        <w:rPr>
          <w:rFonts w:ascii="Bookman Old Style" w:eastAsia="Calibri" w:hAnsi="Bookman Old Style"/>
          <w:sz w:val="27"/>
          <w:szCs w:val="27"/>
          <w:lang w:val="es-ES" w:eastAsia="es-ES"/>
        </w:rPr>
        <w:t>exposición</w:t>
      </w:r>
      <w:r w:rsidR="00E346B5" w:rsidRPr="00D06CB8">
        <w:rPr>
          <w:rFonts w:ascii="Bookman Old Style" w:eastAsia="Calibri" w:hAnsi="Bookman Old Style"/>
          <w:sz w:val="27"/>
          <w:szCs w:val="27"/>
          <w:lang w:val="es-ES" w:eastAsia="es-ES"/>
        </w:rPr>
        <w:t xml:space="preserve"> alcanzada por la Fiscalía</w:t>
      </w:r>
      <w:r w:rsidRPr="00D06CB8">
        <w:rPr>
          <w:rFonts w:ascii="Bookman Old Style" w:eastAsia="Bookman Old Style" w:hAnsi="Bookman Old Style" w:cs="Bookman Old Style"/>
          <w:sz w:val="27"/>
          <w:szCs w:val="27"/>
          <w:lang w:val="es-ES"/>
        </w:rPr>
        <w:t>.</w:t>
      </w:r>
    </w:p>
    <w:p w14:paraId="0004D379" w14:textId="77777777" w:rsidR="00520EBC" w:rsidRPr="00D06CB8" w:rsidRDefault="00520EBC" w:rsidP="0060500E">
      <w:pPr>
        <w:spacing w:after="0" w:line="360" w:lineRule="auto"/>
        <w:ind w:firstLine="567"/>
        <w:contextualSpacing/>
        <w:jc w:val="both"/>
        <w:rPr>
          <w:rFonts w:ascii="Bookman Old Style" w:eastAsia="Bookman Old Style" w:hAnsi="Bookman Old Style" w:cs="Bookman Old Style"/>
          <w:sz w:val="27"/>
          <w:szCs w:val="27"/>
        </w:rPr>
      </w:pPr>
    </w:p>
    <w:p w14:paraId="54316C8C" w14:textId="6114D720" w:rsidR="00520EBC" w:rsidRPr="00D06CB8" w:rsidRDefault="00E346B5"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b/>
          <w:bCs/>
          <w:sz w:val="27"/>
          <w:szCs w:val="27"/>
          <w:lang w:eastAsia="es-ES"/>
        </w:rPr>
        <w:t>3</w:t>
      </w:r>
      <w:r w:rsidR="00520EBC" w:rsidRPr="00D06CB8">
        <w:rPr>
          <w:rFonts w:ascii="Bookman Old Style" w:eastAsia="Calibri" w:hAnsi="Bookman Old Style"/>
          <w:b/>
          <w:bCs/>
          <w:sz w:val="27"/>
          <w:szCs w:val="27"/>
          <w:lang w:eastAsia="es-ES"/>
        </w:rPr>
        <w:t>. Respuesta a los argumentos de la impugnación</w:t>
      </w:r>
      <w:r w:rsidR="00520EBC" w:rsidRPr="00D06CB8">
        <w:rPr>
          <w:rFonts w:ascii="Bookman Old Style" w:eastAsia="Calibri" w:hAnsi="Bookman Old Style"/>
          <w:sz w:val="27"/>
          <w:szCs w:val="27"/>
          <w:lang w:eastAsia="es-ES"/>
        </w:rPr>
        <w:t> </w:t>
      </w:r>
    </w:p>
    <w:p w14:paraId="071E1B6B" w14:textId="77777777" w:rsidR="00520EBC" w:rsidRPr="00D06CB8" w:rsidRDefault="00520EBC" w:rsidP="0056217D">
      <w:pPr>
        <w:spacing w:after="0" w:line="360" w:lineRule="auto"/>
        <w:ind w:firstLine="567"/>
        <w:contextualSpacing/>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w:t>
      </w:r>
    </w:p>
    <w:p w14:paraId="290E9012" w14:textId="18804153" w:rsidR="00520EBC" w:rsidRPr="00D06CB8" w:rsidRDefault="00520EBC" w:rsidP="0060500E">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Adicionalmente, si bien la valoración de las pruebas de la Fiscalía y de la defensa da respuesta sustancial a los alegatos de la impugnación, la Sala considera necesario precisar lo siguiente:</w:t>
      </w:r>
    </w:p>
    <w:p w14:paraId="06C958DB" w14:textId="77777777" w:rsidR="000712BE" w:rsidRPr="00D06CB8" w:rsidRDefault="000712BE" w:rsidP="00914B44">
      <w:pPr>
        <w:spacing w:after="0" w:line="360" w:lineRule="auto"/>
        <w:ind w:firstLine="567"/>
        <w:contextualSpacing/>
        <w:jc w:val="both"/>
        <w:rPr>
          <w:rFonts w:ascii="Bookman Old Style" w:eastAsia="Calibri" w:hAnsi="Bookman Old Style"/>
          <w:sz w:val="27"/>
          <w:szCs w:val="27"/>
          <w:lang w:eastAsia="es-ES"/>
        </w:rPr>
      </w:pPr>
    </w:p>
    <w:p w14:paraId="08CEF03C" w14:textId="659C3DDE" w:rsidR="00520EBC" w:rsidRPr="00D06CB8" w:rsidRDefault="000712BE" w:rsidP="6F994DCF">
      <w:pPr>
        <w:pStyle w:val="Prrafodelista"/>
        <w:numPr>
          <w:ilvl w:val="0"/>
          <w:numId w:val="20"/>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La atipicidad que propone la defensa no prospera, porque el artículo 263 Cp no exige que la víctima hubiera ejercido posesión material exclusiva sobre cada franja del inmueble ni que la invasión empezara después de la adjudicación o de la entrega material. Basta, como aquí ocurre, que los acusados ocupen y exploten un bien ajeno, sin derecho alguno, de forma arbitraria o violenta y con ánimo de provecho. La prueba revela, además, que esas áreas integran la finca “Las Mercedes”, que los procesados no tenían título ni autorización sobre ellas y que mantuvieron una ocupación continua y económicamente aprovechada, por lo menos, hasta la acusación del 25 de abril de 2018.</w:t>
      </w:r>
    </w:p>
    <w:p w14:paraId="5F45E084" w14:textId="77777777" w:rsidR="008730EB" w:rsidRPr="00D06CB8" w:rsidRDefault="008730EB" w:rsidP="0060500E">
      <w:pPr>
        <w:pStyle w:val="Prrafodelista"/>
        <w:spacing w:after="0" w:line="360" w:lineRule="auto"/>
        <w:ind w:left="567"/>
        <w:jc w:val="both"/>
        <w:rPr>
          <w:rFonts w:ascii="Bookman Old Style" w:eastAsia="Calibri" w:hAnsi="Bookman Old Style"/>
          <w:sz w:val="27"/>
          <w:szCs w:val="27"/>
          <w:lang w:eastAsia="es-ES"/>
        </w:rPr>
      </w:pPr>
    </w:p>
    <w:p w14:paraId="5728F1E3" w14:textId="77777777" w:rsidR="00A5370F" w:rsidRPr="00D06CB8" w:rsidRDefault="00A5370F" w:rsidP="008730EB">
      <w:pPr>
        <w:pStyle w:val="Prrafodelista"/>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lastRenderedPageBreak/>
        <w:t xml:space="preserve">El debate que propone la defensa no recae sobre un elemento típico, sino sobre la identidad del titular del predio. Y ese punto quedó resuelto con los títulos, el certificado de tradición, el plano, el acta de entrega y el dictamen técnico, que excluyen toda intervención de empresa energética alguna en la cadena de dominio de “Las Mercedes”. </w:t>
      </w:r>
    </w:p>
    <w:p w14:paraId="58D48202" w14:textId="77777777" w:rsidR="00A5370F" w:rsidRPr="00D06CB8" w:rsidRDefault="00A5370F" w:rsidP="0060500E">
      <w:pPr>
        <w:pStyle w:val="Prrafodelista"/>
        <w:spacing w:after="0" w:line="360" w:lineRule="auto"/>
        <w:ind w:left="0" w:firstLine="567"/>
        <w:jc w:val="both"/>
        <w:rPr>
          <w:rFonts w:ascii="Bookman Old Style" w:eastAsia="Calibri" w:hAnsi="Bookman Old Style"/>
          <w:sz w:val="27"/>
          <w:szCs w:val="27"/>
          <w:lang w:eastAsia="es-ES"/>
        </w:rPr>
      </w:pPr>
    </w:p>
    <w:p w14:paraId="662A208E" w14:textId="6B8C59D2" w:rsidR="000712BE" w:rsidRPr="00D06CB8" w:rsidRDefault="00A5370F" w:rsidP="008730EB">
      <w:pPr>
        <w:pStyle w:val="Prrafodelista"/>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Los mojones y la referencia a la cota 367 tampoco alteran esa conclusión, porque no acreditan dominio, no fijan linderos jurídicos y no prueban que la franja ocupada integre el embalse. Así, la tesis del error no elimina el conocimiento sobre la ajenidad del terreno, sino que intenta desplazar, sin éxito, la titularidad hacia un tercero que la prueba no reconoce.</w:t>
      </w:r>
    </w:p>
    <w:p w14:paraId="0F93A282" w14:textId="77777777" w:rsidR="008730EB" w:rsidRPr="00D06CB8" w:rsidRDefault="008730EB" w:rsidP="008730EB">
      <w:pPr>
        <w:pStyle w:val="Prrafodelista"/>
        <w:spacing w:after="0" w:line="360" w:lineRule="auto"/>
        <w:ind w:left="0" w:firstLine="567"/>
        <w:jc w:val="both"/>
        <w:rPr>
          <w:rFonts w:ascii="Bookman Old Style" w:eastAsia="Calibri" w:hAnsi="Bookman Old Style"/>
          <w:sz w:val="27"/>
          <w:szCs w:val="27"/>
          <w:lang w:eastAsia="es-ES"/>
        </w:rPr>
      </w:pPr>
    </w:p>
    <w:p w14:paraId="4D35D3EE" w14:textId="37A44048" w:rsidR="00914B44" w:rsidRPr="00D06CB8" w:rsidRDefault="00E346B5" w:rsidP="0060500E">
      <w:pPr>
        <w:pStyle w:val="Prrafodelista"/>
        <w:numPr>
          <w:ilvl w:val="0"/>
          <w:numId w:val="20"/>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Tampoco prospera la tesis del error invencible sobre la pertenencia de los terrenos. </w:t>
      </w:r>
      <w:r w:rsidR="00914B44" w:rsidRPr="00D06CB8">
        <w:rPr>
          <w:rFonts w:ascii="Bookman Old Style" w:eastAsia="Calibri" w:hAnsi="Bookman Old Style"/>
          <w:sz w:val="27"/>
          <w:szCs w:val="27"/>
          <w:lang w:eastAsia="es-ES"/>
        </w:rPr>
        <w:t>Los acusados no obra</w:t>
      </w:r>
      <w:r w:rsidR="00820941" w:rsidRPr="00D06CB8">
        <w:rPr>
          <w:rFonts w:ascii="Bookman Old Style" w:eastAsia="Calibri" w:hAnsi="Bookman Old Style"/>
          <w:sz w:val="27"/>
          <w:szCs w:val="27"/>
          <w:lang w:eastAsia="es-ES"/>
        </w:rPr>
        <w:t>ro</w:t>
      </w:r>
      <w:r w:rsidR="00914B44" w:rsidRPr="00D06CB8">
        <w:rPr>
          <w:rFonts w:ascii="Bookman Old Style" w:eastAsia="Calibri" w:hAnsi="Bookman Old Style"/>
          <w:sz w:val="27"/>
          <w:szCs w:val="27"/>
          <w:lang w:eastAsia="es-ES"/>
        </w:rPr>
        <w:t>n bajo la convicción de ocupar un terreno propio ni amparado por un derecho legítimo. Por el contrario, siempre reconoc</w:t>
      </w:r>
      <w:r w:rsidR="00820941" w:rsidRPr="00D06CB8">
        <w:rPr>
          <w:rFonts w:ascii="Bookman Old Style" w:eastAsia="Calibri" w:hAnsi="Bookman Old Style"/>
          <w:sz w:val="27"/>
          <w:szCs w:val="27"/>
          <w:lang w:eastAsia="es-ES"/>
        </w:rPr>
        <w:t>iero</w:t>
      </w:r>
      <w:r w:rsidR="00914B44" w:rsidRPr="00D06CB8">
        <w:rPr>
          <w:rFonts w:ascii="Bookman Old Style" w:eastAsia="Calibri" w:hAnsi="Bookman Old Style"/>
          <w:sz w:val="27"/>
          <w:szCs w:val="27"/>
          <w:lang w:eastAsia="es-ES"/>
        </w:rPr>
        <w:t>n que esas áreas pertenec</w:t>
      </w:r>
      <w:r w:rsidR="00820941" w:rsidRPr="00D06CB8">
        <w:rPr>
          <w:rFonts w:ascii="Bookman Old Style" w:eastAsia="Calibri" w:hAnsi="Bookman Old Style"/>
          <w:sz w:val="27"/>
          <w:szCs w:val="27"/>
          <w:lang w:eastAsia="es-ES"/>
        </w:rPr>
        <w:t>ía</w:t>
      </w:r>
      <w:r w:rsidR="00914B44" w:rsidRPr="00D06CB8">
        <w:rPr>
          <w:rFonts w:ascii="Bookman Old Style" w:eastAsia="Calibri" w:hAnsi="Bookman Old Style"/>
          <w:sz w:val="27"/>
          <w:szCs w:val="27"/>
          <w:lang w:eastAsia="es-ES"/>
        </w:rPr>
        <w:t xml:space="preserve">n a un tercero, al que identifican como la represa o la empresa energética. De ahí que el debate no recaiga sobre la ajenidad del bien, sino sobre la identidad de su titular. </w:t>
      </w:r>
    </w:p>
    <w:p w14:paraId="094D25EE" w14:textId="77777777" w:rsidR="00E346B5" w:rsidRPr="00D06CB8" w:rsidRDefault="00E346B5" w:rsidP="0060500E">
      <w:pPr>
        <w:pStyle w:val="Prrafodelista"/>
        <w:spacing w:after="0" w:line="360" w:lineRule="auto"/>
        <w:ind w:left="0"/>
        <w:jc w:val="both"/>
        <w:rPr>
          <w:rFonts w:ascii="Bookman Old Style" w:eastAsia="Calibri" w:hAnsi="Bookman Old Style"/>
          <w:sz w:val="27"/>
          <w:szCs w:val="27"/>
          <w:lang w:eastAsia="es-ES"/>
        </w:rPr>
      </w:pPr>
    </w:p>
    <w:p w14:paraId="1FCFD4F6" w14:textId="2B06E8E9" w:rsidR="00E346B5" w:rsidRPr="00D06CB8" w:rsidRDefault="00E346B5" w:rsidP="6F994DCF">
      <w:pPr>
        <w:pStyle w:val="Prrafodelista"/>
        <w:numPr>
          <w:ilvl w:val="0"/>
          <w:numId w:val="20"/>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La defensa tampoco acierta cuando invoca el acta de entrega del 31 de enero de 2014 como respaldo de una ocupación previa que, según ella, excluye la invasión. Esa diligencia muestra, en efecto, que para esa fecha ya existía ocupación material dentro de Las Mercedes. </w:t>
      </w:r>
    </w:p>
    <w:p w14:paraId="73A7093A" w14:textId="77777777" w:rsidR="00E346B5" w:rsidRPr="00D06CB8" w:rsidRDefault="00E346B5" w:rsidP="0056217D">
      <w:pPr>
        <w:spacing w:after="0" w:line="360" w:lineRule="auto"/>
        <w:ind w:firstLine="567"/>
        <w:jc w:val="both"/>
        <w:rPr>
          <w:rFonts w:ascii="Bookman Old Style" w:eastAsia="Calibri" w:hAnsi="Bookman Old Style"/>
          <w:sz w:val="27"/>
          <w:szCs w:val="27"/>
          <w:lang w:eastAsia="es-ES"/>
        </w:rPr>
      </w:pPr>
    </w:p>
    <w:p w14:paraId="56A75FC7" w14:textId="77777777" w:rsidR="00E346B5" w:rsidRPr="00D06CB8" w:rsidRDefault="00E346B5" w:rsidP="6F994DCF">
      <w:pPr>
        <w:spacing w:after="0" w:line="360" w:lineRule="auto"/>
        <w:ind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Sin embargo, ese dato no favorece a los acusados porque: </w:t>
      </w:r>
      <w:r w:rsidRPr="00D06CB8">
        <w:rPr>
          <w:rFonts w:ascii="Bookman Old Style" w:eastAsia="Calibri" w:hAnsi="Bookman Old Style"/>
          <w:i/>
          <w:iCs/>
          <w:sz w:val="27"/>
          <w:szCs w:val="27"/>
          <w:lang w:val="es-ES" w:eastAsia="es-ES"/>
        </w:rPr>
        <w:t>i)</w:t>
      </w:r>
      <w:r w:rsidRPr="00D06CB8">
        <w:rPr>
          <w:rFonts w:ascii="Bookman Old Style" w:eastAsia="Calibri" w:hAnsi="Bookman Old Style"/>
          <w:sz w:val="27"/>
          <w:szCs w:val="27"/>
          <w:lang w:val="es-ES" w:eastAsia="es-ES"/>
        </w:rPr>
        <w:t xml:space="preserve"> el tipo penal no exige que la invasión empiece después de la </w:t>
      </w:r>
      <w:r w:rsidRPr="00D06CB8">
        <w:rPr>
          <w:rFonts w:ascii="Bookman Old Style" w:eastAsia="Calibri" w:hAnsi="Bookman Old Style"/>
          <w:sz w:val="27"/>
          <w:szCs w:val="27"/>
          <w:lang w:val="es-ES" w:eastAsia="es-ES"/>
        </w:rPr>
        <w:lastRenderedPageBreak/>
        <w:t xml:space="preserve">adquisición formal del inmueble por la víctima; </w:t>
      </w:r>
      <w:r w:rsidRPr="00D06CB8">
        <w:rPr>
          <w:rFonts w:ascii="Bookman Old Style" w:eastAsia="Calibri" w:hAnsi="Bookman Old Style"/>
          <w:i/>
          <w:iCs/>
          <w:sz w:val="27"/>
          <w:szCs w:val="27"/>
          <w:lang w:val="es-ES" w:eastAsia="es-ES"/>
        </w:rPr>
        <w:t>ii)</w:t>
      </w:r>
      <w:r w:rsidRPr="00D06CB8">
        <w:rPr>
          <w:rFonts w:ascii="Bookman Old Style" w:eastAsia="Calibri" w:hAnsi="Bookman Old Style"/>
          <w:sz w:val="27"/>
          <w:szCs w:val="27"/>
          <w:lang w:val="es-ES" w:eastAsia="es-ES"/>
        </w:rPr>
        <w:t xml:space="preserve"> la conducta conserva carácter permanente mientras perdura la ocupación arbitraria, y </w:t>
      </w:r>
      <w:r w:rsidRPr="00D06CB8">
        <w:rPr>
          <w:rFonts w:ascii="Bookman Old Style" w:eastAsia="Calibri" w:hAnsi="Bookman Old Style"/>
          <w:i/>
          <w:iCs/>
          <w:sz w:val="27"/>
          <w:szCs w:val="27"/>
          <w:lang w:val="es-ES" w:eastAsia="es-ES"/>
        </w:rPr>
        <w:t>iii)</w:t>
      </w:r>
      <w:r w:rsidRPr="00D06CB8">
        <w:rPr>
          <w:rFonts w:ascii="Bookman Old Style" w:eastAsia="Calibri" w:hAnsi="Bookman Old Style"/>
          <w:sz w:val="27"/>
          <w:szCs w:val="27"/>
          <w:lang w:val="es-ES" w:eastAsia="es-ES"/>
        </w:rPr>
        <w:t xml:space="preserve"> esa diligencia actualiza de manera definitiva el conocimiento de los acusados sobre la titularidad del predio. </w:t>
      </w:r>
    </w:p>
    <w:p w14:paraId="045A170C" w14:textId="77777777" w:rsidR="00E346B5" w:rsidRPr="00D06CB8" w:rsidRDefault="00E346B5" w:rsidP="007B65A9">
      <w:pPr>
        <w:spacing w:after="0" w:line="360" w:lineRule="auto"/>
        <w:contextualSpacing/>
        <w:jc w:val="both"/>
        <w:rPr>
          <w:rFonts w:ascii="Bookman Old Style" w:eastAsia="Calibri" w:hAnsi="Bookman Old Style"/>
          <w:sz w:val="27"/>
          <w:szCs w:val="27"/>
          <w:lang w:eastAsia="es-ES"/>
        </w:rPr>
      </w:pPr>
    </w:p>
    <w:p w14:paraId="48744B8C" w14:textId="36D82CD4" w:rsidR="00E346B5" w:rsidRPr="00D06CB8" w:rsidRDefault="00E346B5" w:rsidP="0056217D">
      <w:pPr>
        <w:pStyle w:val="Prrafodelista"/>
        <w:numPr>
          <w:ilvl w:val="0"/>
          <w:numId w:val="20"/>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w:t>
      </w:r>
      <w:r w:rsidR="00A5370F" w:rsidRPr="00D06CB8">
        <w:rPr>
          <w:rFonts w:ascii="Bookman Old Style" w:eastAsia="Calibri" w:hAnsi="Bookman Old Style"/>
          <w:sz w:val="27"/>
          <w:szCs w:val="27"/>
          <w:lang w:eastAsia="es-ES"/>
        </w:rPr>
        <w:t xml:space="preserve">Como </w:t>
      </w:r>
      <w:r w:rsidR="008730EB" w:rsidRPr="00D06CB8">
        <w:rPr>
          <w:rFonts w:ascii="Bookman Old Style" w:eastAsia="Calibri" w:hAnsi="Bookman Old Style"/>
          <w:sz w:val="27"/>
          <w:szCs w:val="27"/>
          <w:lang w:eastAsia="es-ES"/>
        </w:rPr>
        <w:t>ya la Sala lo</w:t>
      </w:r>
      <w:r w:rsidR="00A5370F" w:rsidRPr="00D06CB8">
        <w:rPr>
          <w:rFonts w:ascii="Bookman Old Style" w:eastAsia="Calibri" w:hAnsi="Bookman Old Style"/>
          <w:sz w:val="27"/>
          <w:szCs w:val="27"/>
          <w:lang w:eastAsia="es-ES"/>
        </w:rPr>
        <w:t xml:space="preserve"> explicó con detalle, e</w:t>
      </w:r>
      <w:r w:rsidRPr="00D06CB8">
        <w:rPr>
          <w:rFonts w:ascii="Bookman Old Style" w:eastAsia="Calibri" w:hAnsi="Bookman Old Style"/>
          <w:sz w:val="27"/>
          <w:szCs w:val="27"/>
          <w:lang w:eastAsia="es-ES"/>
        </w:rPr>
        <w:t>l dolo, en este delito, exige conocimiento de la ajenidad del bien y voluntad de ocuparlo para obtener provecho. La prueba practicada en juicio muestra ambos componentes. Los acusados cerca</w:t>
      </w:r>
      <w:r w:rsidR="00914B44" w:rsidRPr="00D06CB8">
        <w:rPr>
          <w:rFonts w:ascii="Bookman Old Style" w:eastAsia="Calibri" w:hAnsi="Bookman Old Style"/>
          <w:sz w:val="27"/>
          <w:szCs w:val="27"/>
          <w:lang w:eastAsia="es-ES"/>
        </w:rPr>
        <w:t>ron</w:t>
      </w:r>
      <w:r w:rsidRPr="00D06CB8">
        <w:rPr>
          <w:rFonts w:ascii="Bookman Old Style" w:eastAsia="Calibri" w:hAnsi="Bookman Old Style"/>
          <w:sz w:val="27"/>
          <w:szCs w:val="27"/>
          <w:lang w:eastAsia="es-ES"/>
        </w:rPr>
        <w:t>, cultiva</w:t>
      </w:r>
      <w:r w:rsidR="00914B44" w:rsidRPr="00D06CB8">
        <w:rPr>
          <w:rFonts w:ascii="Bookman Old Style" w:eastAsia="Calibri" w:hAnsi="Bookman Old Style"/>
          <w:sz w:val="27"/>
          <w:szCs w:val="27"/>
          <w:lang w:eastAsia="es-ES"/>
        </w:rPr>
        <w:t>ron</w:t>
      </w:r>
      <w:r w:rsidRPr="00D06CB8">
        <w:rPr>
          <w:rFonts w:ascii="Bookman Old Style" w:eastAsia="Calibri" w:hAnsi="Bookman Old Style"/>
          <w:sz w:val="27"/>
          <w:szCs w:val="27"/>
          <w:lang w:eastAsia="es-ES"/>
        </w:rPr>
        <w:t xml:space="preserve">, </w:t>
      </w:r>
      <w:r w:rsidR="00914B44" w:rsidRPr="00D06CB8">
        <w:rPr>
          <w:rFonts w:ascii="Bookman Old Style" w:eastAsia="Calibri" w:hAnsi="Bookman Old Style"/>
          <w:sz w:val="27"/>
          <w:szCs w:val="27"/>
          <w:lang w:eastAsia="es-ES"/>
        </w:rPr>
        <w:t>introdujeron ganado, mantuvieron corrales, aprovecharon pastos y abrieron</w:t>
      </w:r>
      <w:r w:rsidRPr="00D06CB8">
        <w:rPr>
          <w:rFonts w:ascii="Bookman Old Style" w:eastAsia="Calibri" w:hAnsi="Bookman Old Style"/>
          <w:sz w:val="27"/>
          <w:szCs w:val="27"/>
          <w:lang w:eastAsia="es-ES"/>
        </w:rPr>
        <w:t xml:space="preserve"> salidas para extraer productos. </w:t>
      </w:r>
    </w:p>
    <w:p w14:paraId="58B6AA0E" w14:textId="77777777" w:rsidR="00E346B5" w:rsidRPr="00D06CB8" w:rsidRDefault="00E346B5" w:rsidP="0056217D">
      <w:pPr>
        <w:spacing w:after="0" w:line="360" w:lineRule="auto"/>
        <w:jc w:val="both"/>
        <w:rPr>
          <w:rFonts w:ascii="Bookman Old Style" w:eastAsia="Calibri" w:hAnsi="Bookman Old Style"/>
          <w:sz w:val="27"/>
          <w:szCs w:val="27"/>
          <w:lang w:eastAsia="es-ES"/>
        </w:rPr>
      </w:pPr>
    </w:p>
    <w:p w14:paraId="2F7AE6A2" w14:textId="092BB0D5" w:rsidR="00914B44" w:rsidRPr="00D06CB8" w:rsidRDefault="00914B44" w:rsidP="008F1F87">
      <w:pPr>
        <w:spacing w:after="0" w:line="360" w:lineRule="auto"/>
        <w:ind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Pese a los requerimientos de la propietaria a las reclamaciones de sus administradores, a la diligencia de entrega y al trámite policivo, los acusados mantuvieron la explotación del predio. Esa persistencia, unida a las amenazas e intimidaciones, mostró que actuaron con conocimiento y voluntad de continuar la invasión.</w:t>
      </w:r>
    </w:p>
    <w:p w14:paraId="7677003A" w14:textId="77777777" w:rsidR="00E346B5" w:rsidRPr="00D06CB8" w:rsidRDefault="00E346B5" w:rsidP="0056217D">
      <w:pPr>
        <w:spacing w:after="0" w:line="360" w:lineRule="auto"/>
        <w:ind w:firstLine="567"/>
        <w:jc w:val="both"/>
        <w:rPr>
          <w:rFonts w:ascii="Bookman Old Style" w:eastAsia="Calibri" w:hAnsi="Bookman Old Style"/>
          <w:sz w:val="27"/>
          <w:szCs w:val="27"/>
          <w:lang w:eastAsia="es-ES"/>
        </w:rPr>
      </w:pPr>
    </w:p>
    <w:p w14:paraId="05E2E82B" w14:textId="5C24F624" w:rsidR="00520EBC" w:rsidRPr="00D06CB8" w:rsidRDefault="00E346B5" w:rsidP="00F17B47">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En síntesis, la Sala concluye que los planteamientos de la defensa no desvirtúan la responsabilidad</w:t>
      </w:r>
      <w:r w:rsidR="00D9235E" w:rsidRPr="00D06CB8">
        <w:rPr>
          <w:rFonts w:ascii="Bookman Old Style" w:eastAsia="Calibri" w:hAnsi="Bookman Old Style"/>
          <w:sz w:val="27"/>
          <w:szCs w:val="27"/>
          <w:lang w:eastAsia="es-ES"/>
        </w:rPr>
        <w:t xml:space="preserve"> que logró </w:t>
      </w:r>
      <w:r w:rsidR="008730EB" w:rsidRPr="00D06CB8">
        <w:rPr>
          <w:rFonts w:ascii="Bookman Old Style" w:eastAsia="Calibri" w:hAnsi="Bookman Old Style"/>
          <w:sz w:val="27"/>
          <w:szCs w:val="27"/>
          <w:lang w:eastAsia="es-ES"/>
        </w:rPr>
        <w:t>acreditar</w:t>
      </w:r>
      <w:r w:rsidR="00D9235E" w:rsidRPr="00D06CB8">
        <w:rPr>
          <w:rFonts w:ascii="Bookman Old Style" w:eastAsia="Calibri" w:hAnsi="Bookman Old Style"/>
          <w:sz w:val="27"/>
          <w:szCs w:val="27"/>
          <w:lang w:eastAsia="es-ES"/>
        </w:rPr>
        <w:t xml:space="preserve"> la Fiscalía</w:t>
      </w:r>
      <w:r w:rsidRPr="00D06CB8">
        <w:rPr>
          <w:rFonts w:ascii="Bookman Old Style" w:eastAsia="Calibri" w:hAnsi="Bookman Old Style"/>
          <w:sz w:val="27"/>
          <w:szCs w:val="27"/>
          <w:lang w:eastAsia="es-ES"/>
        </w:rPr>
        <w:t xml:space="preserve">. </w:t>
      </w:r>
      <w:r w:rsidR="00520EBC" w:rsidRPr="00D06CB8">
        <w:rPr>
          <w:rFonts w:ascii="Bookman Old Style" w:eastAsia="Calibri" w:hAnsi="Bookman Old Style"/>
          <w:sz w:val="27"/>
          <w:szCs w:val="27"/>
          <w:lang w:eastAsia="es-ES"/>
        </w:rPr>
        <w:t>En suma, los reproches del impugnante no alteran el panorama probatorio establecido ni afectan la solidez de la decisión impugnada.</w:t>
      </w:r>
    </w:p>
    <w:p w14:paraId="7C98CD8A" w14:textId="77777777" w:rsidR="00AC267A" w:rsidRPr="00D06CB8" w:rsidRDefault="00AC267A" w:rsidP="00AC267A">
      <w:pPr>
        <w:spacing w:after="0" w:line="360" w:lineRule="auto"/>
        <w:contextualSpacing/>
        <w:jc w:val="both"/>
        <w:rPr>
          <w:rFonts w:ascii="Bookman Old Style" w:eastAsia="Calibri" w:hAnsi="Bookman Old Style"/>
          <w:sz w:val="27"/>
          <w:szCs w:val="27"/>
          <w:lang w:eastAsia="es-ES"/>
        </w:rPr>
      </w:pPr>
    </w:p>
    <w:p w14:paraId="00E084D2" w14:textId="1B617F07" w:rsidR="00AC267A" w:rsidRPr="00D06CB8" w:rsidRDefault="00AC267A" w:rsidP="00AC267A">
      <w:pPr>
        <w:pStyle w:val="Prrafodelista"/>
        <w:numPr>
          <w:ilvl w:val="0"/>
          <w:numId w:val="27"/>
        </w:numPr>
        <w:spacing w:after="0" w:line="360" w:lineRule="auto"/>
        <w:jc w:val="both"/>
        <w:rPr>
          <w:rFonts w:ascii="Bookman Old Style" w:eastAsia="Calibri" w:hAnsi="Bookman Old Style"/>
          <w:sz w:val="27"/>
          <w:szCs w:val="27"/>
          <w:lang w:eastAsia="es-ES"/>
        </w:rPr>
      </w:pPr>
      <w:r w:rsidRPr="00D06CB8">
        <w:rPr>
          <w:rFonts w:ascii="Bookman Old Style" w:eastAsia="Calibri" w:hAnsi="Bookman Old Style"/>
          <w:b/>
          <w:bCs/>
          <w:sz w:val="27"/>
          <w:szCs w:val="27"/>
          <w:lang w:eastAsia="es-ES"/>
        </w:rPr>
        <w:t>Conclusión</w:t>
      </w:r>
      <w:r w:rsidRPr="00D06CB8">
        <w:rPr>
          <w:rFonts w:ascii="Bookman Old Style" w:eastAsia="Calibri" w:hAnsi="Bookman Old Style"/>
          <w:sz w:val="27"/>
          <w:szCs w:val="27"/>
          <w:lang w:eastAsia="es-ES"/>
        </w:rPr>
        <w:t> </w:t>
      </w:r>
    </w:p>
    <w:p w14:paraId="0E05AE33" w14:textId="77777777" w:rsidR="00AC267A" w:rsidRPr="00D06CB8" w:rsidRDefault="00AC267A" w:rsidP="00AC267A">
      <w:pPr>
        <w:spacing w:after="0" w:line="360" w:lineRule="auto"/>
        <w:ind w:firstLine="567"/>
        <w:contextualSpacing/>
        <w:jc w:val="both"/>
        <w:rPr>
          <w:rFonts w:ascii="Bookman Old Style" w:eastAsia="Calibri" w:hAnsi="Bookman Old Style"/>
          <w:sz w:val="27"/>
          <w:szCs w:val="27"/>
          <w:lang w:eastAsia="es-ES"/>
        </w:rPr>
      </w:pPr>
    </w:p>
    <w:p w14:paraId="0AF8986C" w14:textId="77777777" w:rsidR="00AC267A" w:rsidRPr="00D06CB8" w:rsidRDefault="00AC267A" w:rsidP="00AC267A">
      <w:pPr>
        <w:pStyle w:val="Prrafodelista"/>
        <w:numPr>
          <w:ilvl w:val="0"/>
          <w:numId w:val="15"/>
        </w:numPr>
        <w:spacing w:after="0" w:line="360" w:lineRule="auto"/>
        <w:ind w:left="0" w:firstLine="567"/>
        <w:jc w:val="both"/>
        <w:rPr>
          <w:rFonts w:ascii="Bookman Old Style" w:eastAsia="Calibri" w:hAnsi="Bookman Old Style"/>
          <w:sz w:val="27"/>
          <w:szCs w:val="27"/>
          <w:lang w:val="es-ES" w:eastAsia="es-ES"/>
        </w:rPr>
      </w:pPr>
      <w:r w:rsidRPr="00D06CB8">
        <w:rPr>
          <w:rFonts w:ascii="Bookman Old Style" w:eastAsia="Calibri" w:hAnsi="Bookman Old Style"/>
          <w:sz w:val="27"/>
          <w:szCs w:val="27"/>
          <w:lang w:val="es-ES" w:eastAsia="es-ES"/>
        </w:rPr>
        <w:t xml:space="preserve"> La Corte examinó </w:t>
      </w:r>
      <w:r w:rsidRPr="00D06CB8">
        <w:rPr>
          <w:rFonts w:ascii="Bookman Old Style" w:hAnsi="Bookman Old Style"/>
          <w:sz w:val="27"/>
          <w:szCs w:val="27"/>
          <w:lang w:val="es-ES"/>
        </w:rPr>
        <w:t xml:space="preserve">los hechos jurídicamente relevantes fijados por la Fiscalía y los contrastó con las pruebas </w:t>
      </w:r>
      <w:r w:rsidRPr="00D06CB8">
        <w:rPr>
          <w:rFonts w:ascii="Bookman Old Style" w:hAnsi="Bookman Old Style"/>
          <w:sz w:val="27"/>
          <w:szCs w:val="27"/>
          <w:lang w:val="es-ES"/>
        </w:rPr>
        <w:lastRenderedPageBreak/>
        <w:t xml:space="preserve">incorporadas al proceso. De ese análisis, encontró que aquellos se ajustan a lo que se probó en el juicio, </w:t>
      </w:r>
      <w:r w:rsidRPr="00D06CB8">
        <w:rPr>
          <w:rFonts w:ascii="Bookman Old Style" w:eastAsia="Calibri" w:hAnsi="Bookman Old Style"/>
          <w:sz w:val="27"/>
          <w:szCs w:val="27"/>
          <w:lang w:val="es-ES" w:eastAsia="es-ES"/>
        </w:rPr>
        <w:t>más allá de toda duda razonable, según lo exigido por el artículo 381 del CPP</w:t>
      </w:r>
      <w:r w:rsidRPr="00D06CB8">
        <w:rPr>
          <w:rFonts w:ascii="Bookman Old Style" w:hAnsi="Bookman Old Style"/>
          <w:sz w:val="27"/>
          <w:szCs w:val="27"/>
          <w:lang w:val="es-ES"/>
        </w:rPr>
        <w:t xml:space="preserve">: </w:t>
      </w:r>
      <w:r w:rsidRPr="00D06CB8">
        <w:rPr>
          <w:rFonts w:ascii="Bookman Old Style" w:eastAsia="Calibri" w:hAnsi="Bookman Old Style"/>
          <w:smallCaps/>
          <w:sz w:val="27"/>
          <w:szCs w:val="27"/>
          <w:lang w:val="es-ES" w:eastAsia="es-ES"/>
        </w:rPr>
        <w:t xml:space="preserve">Armando Loaiza Céspedes, Luis Enrique Peña Camacho </w:t>
      </w:r>
      <w:r w:rsidRPr="00D06CB8">
        <w:rPr>
          <w:rFonts w:ascii="Bookman Old Style" w:eastAsia="Calibri" w:hAnsi="Bookman Old Style"/>
          <w:sz w:val="27"/>
          <w:szCs w:val="27"/>
          <w:lang w:val="es-ES" w:eastAsia="es-ES"/>
        </w:rPr>
        <w:t>y</w:t>
      </w:r>
      <w:r w:rsidRPr="00D06CB8">
        <w:rPr>
          <w:rFonts w:ascii="Bookman Old Style" w:eastAsia="Calibri" w:hAnsi="Bookman Old Style"/>
          <w:smallCaps/>
          <w:sz w:val="27"/>
          <w:szCs w:val="27"/>
          <w:lang w:val="es-ES" w:eastAsia="es-ES"/>
        </w:rPr>
        <w:t xml:space="preserve"> Édgar Triana</w:t>
      </w:r>
      <w:r w:rsidRPr="00D06CB8">
        <w:rPr>
          <w:rFonts w:ascii="Bookman Old Style" w:eastAsia="Calibri" w:hAnsi="Bookman Old Style"/>
          <w:sz w:val="27"/>
          <w:szCs w:val="27"/>
          <w:lang w:val="es-ES" w:eastAsia="es-ES"/>
        </w:rPr>
        <w:t xml:space="preserve"> ocuparon y explotaron la finca “Las Mercedes” sin autorización.</w:t>
      </w:r>
    </w:p>
    <w:p w14:paraId="7DFC1C0E" w14:textId="77777777" w:rsidR="00AC267A" w:rsidRPr="00D06CB8" w:rsidRDefault="00AC267A" w:rsidP="00AC267A">
      <w:pPr>
        <w:spacing w:after="0" w:line="360" w:lineRule="auto"/>
        <w:ind w:firstLine="567"/>
        <w:contextualSpacing/>
        <w:jc w:val="both"/>
        <w:rPr>
          <w:rFonts w:ascii="Bookman Old Style" w:eastAsia="Calibri" w:hAnsi="Bookman Old Style"/>
          <w:sz w:val="27"/>
          <w:szCs w:val="27"/>
          <w:lang w:eastAsia="es-ES"/>
        </w:rPr>
      </w:pPr>
    </w:p>
    <w:p w14:paraId="4BCD4776" w14:textId="77777777" w:rsidR="00AC267A" w:rsidRPr="00D06CB8" w:rsidRDefault="00AC267A" w:rsidP="00AC267A">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La prueba de cargo ofrece un escenario claro y convergente. Los títulos de propiedad, el certificado de libertad y tradición, la diligencia de remate, el acta de entrega, el dictamen técnico y el informe de campo muestran una misma realidad: “Las Mercedes” pertenece a Martha Lucía Montiel Morales, tiene 43 hectáreas, conserva linderos definidos y presenta ocupación material por parte de los acusados durante varios años. Los testimonios de Martha Lucía Montiel Morales, José Yesid Montiel Morales y Juan Carlos Llanos Culma coinciden en esos aspectos y encuentran respaldo en esos medios objetivos.</w:t>
      </w:r>
    </w:p>
    <w:p w14:paraId="1D3B55CF" w14:textId="77777777" w:rsidR="00AC267A" w:rsidRPr="00D06CB8" w:rsidRDefault="00AC267A" w:rsidP="00AC267A">
      <w:pPr>
        <w:spacing w:after="0" w:line="360" w:lineRule="auto"/>
        <w:ind w:firstLine="567"/>
        <w:contextualSpacing/>
        <w:jc w:val="both"/>
        <w:rPr>
          <w:rFonts w:ascii="Bookman Old Style" w:eastAsia="Calibri" w:hAnsi="Bookman Old Style"/>
          <w:sz w:val="27"/>
          <w:szCs w:val="27"/>
          <w:lang w:eastAsia="es-ES"/>
        </w:rPr>
      </w:pPr>
    </w:p>
    <w:p w14:paraId="085794CF" w14:textId="2201E860" w:rsidR="00AC267A" w:rsidRPr="00D06CB8" w:rsidRDefault="00AC267A" w:rsidP="0971A8FE">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 La prueba de la defensa no logró desvirtuar esa exposición. Los documentos </w:t>
      </w:r>
      <w:r w:rsidR="5273B444" w:rsidRPr="00D06CB8">
        <w:rPr>
          <w:rFonts w:ascii="Bookman Old Style" w:eastAsia="Calibri" w:hAnsi="Bookman Old Style"/>
          <w:sz w:val="27"/>
          <w:szCs w:val="27"/>
          <w:lang w:eastAsia="es-ES"/>
        </w:rPr>
        <w:t>aportados</w:t>
      </w:r>
      <w:r w:rsidRPr="00D06CB8">
        <w:rPr>
          <w:rFonts w:ascii="Bookman Old Style" w:eastAsia="Calibri" w:hAnsi="Bookman Old Style"/>
          <w:sz w:val="27"/>
          <w:szCs w:val="27"/>
          <w:lang w:eastAsia="es-ES"/>
        </w:rPr>
        <w:t xml:space="preserve"> aluden a predios y mejoras del área del embalse en Prado, no a la finca “Las Mercedes” en Purificación. Por eso, la cota 367, los mojones y la Resolución 004 de 2018 no desvirtúan la titularidad de Martha Lucía Montiel Morales, que los acusados conocieron, en todo caso, desde la diligencia de entrega del 31 de enero de 2014.</w:t>
      </w:r>
    </w:p>
    <w:p w14:paraId="22F47BEE" w14:textId="77777777" w:rsidR="00AC267A" w:rsidRPr="00D06CB8" w:rsidRDefault="00AC267A" w:rsidP="00AC267A">
      <w:pPr>
        <w:spacing w:after="0" w:line="360" w:lineRule="auto"/>
        <w:ind w:firstLine="567"/>
        <w:jc w:val="both"/>
        <w:rPr>
          <w:rFonts w:ascii="Bookman Old Style" w:eastAsia="Calibri" w:hAnsi="Bookman Old Style"/>
          <w:sz w:val="27"/>
          <w:szCs w:val="27"/>
          <w:lang w:val="es-CO" w:eastAsia="es-ES"/>
        </w:rPr>
      </w:pPr>
    </w:p>
    <w:p w14:paraId="18430BD1" w14:textId="77777777" w:rsidR="00AC267A" w:rsidRPr="00D06CB8" w:rsidRDefault="00AC267A" w:rsidP="00AC267A">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eastAsia="Calibri" w:hAnsi="Bookman Old Style"/>
          <w:sz w:val="27"/>
          <w:szCs w:val="27"/>
          <w:lang w:eastAsia="es-ES"/>
        </w:rPr>
        <w:t xml:space="preserve">En ese orden, la valoración crítica y conjunta de la prueba permite concluir que la Fiscalía acreditó su hipótesis </w:t>
      </w:r>
      <w:r w:rsidRPr="00D06CB8">
        <w:rPr>
          <w:rFonts w:ascii="Bookman Old Style" w:eastAsia="Calibri" w:hAnsi="Bookman Old Style"/>
          <w:sz w:val="27"/>
          <w:szCs w:val="27"/>
          <w:lang w:eastAsia="es-ES"/>
        </w:rPr>
        <w:lastRenderedPageBreak/>
        <w:t>más allá de toda duda razonable, de acuerdo con lo previsto en el artículo 381 CPP, y que la sentencia proferida por el Tribunal se ajusta a la realidad probatoria justificada en el juicio.</w:t>
      </w:r>
    </w:p>
    <w:p w14:paraId="5F2906CC" w14:textId="77777777" w:rsidR="00AC267A" w:rsidRPr="00D06CB8" w:rsidRDefault="00AC267A" w:rsidP="00AC267A">
      <w:pPr>
        <w:spacing w:after="0" w:line="360" w:lineRule="auto"/>
        <w:ind w:firstLine="567"/>
        <w:jc w:val="both"/>
        <w:rPr>
          <w:rFonts w:ascii="Bookman Old Style" w:eastAsia="Calibri" w:hAnsi="Bookman Old Style"/>
          <w:sz w:val="27"/>
          <w:szCs w:val="27"/>
          <w:lang w:eastAsia="es-ES"/>
        </w:rPr>
      </w:pPr>
    </w:p>
    <w:p w14:paraId="43F6B0F4" w14:textId="77777777" w:rsidR="00AC267A" w:rsidRPr="00D06CB8" w:rsidRDefault="00AC267A" w:rsidP="00AC267A">
      <w:pPr>
        <w:pStyle w:val="Prrafodelista"/>
        <w:numPr>
          <w:ilvl w:val="0"/>
          <w:numId w:val="15"/>
        </w:numPr>
        <w:spacing w:after="0" w:line="360" w:lineRule="auto"/>
        <w:ind w:left="0" w:firstLine="567"/>
        <w:jc w:val="both"/>
        <w:rPr>
          <w:rFonts w:ascii="Bookman Old Style" w:eastAsia="Calibri" w:hAnsi="Bookman Old Style"/>
          <w:sz w:val="27"/>
          <w:szCs w:val="27"/>
          <w:lang w:eastAsia="es-ES"/>
        </w:rPr>
      </w:pPr>
      <w:r w:rsidRPr="00D06CB8">
        <w:rPr>
          <w:rFonts w:ascii="Bookman Old Style" w:hAnsi="Bookman Old Style"/>
          <w:bCs/>
          <w:sz w:val="27"/>
          <w:szCs w:val="27"/>
        </w:rPr>
        <w:t xml:space="preserve"> </w:t>
      </w:r>
      <w:r w:rsidRPr="00D06CB8">
        <w:rPr>
          <w:rFonts w:ascii="Bookman Old Style" w:eastAsia="Calibri" w:hAnsi="Bookman Old Style"/>
          <w:sz w:val="27"/>
          <w:szCs w:val="27"/>
          <w:lang w:eastAsia="es-ES"/>
        </w:rPr>
        <w:t>Así las cosas, la Corte está ante una sentencia jurídicamente correcta y materialmente justa, y no advierte motivos razonables que ameriten su revocatoria. En consecuencia, la confirmará.</w:t>
      </w:r>
    </w:p>
    <w:p w14:paraId="03D424EA" w14:textId="77777777" w:rsidR="00AC267A" w:rsidRPr="00D06CB8" w:rsidRDefault="00AC267A" w:rsidP="00AC267A">
      <w:pPr>
        <w:spacing w:after="0" w:line="360" w:lineRule="auto"/>
        <w:ind w:firstLine="567"/>
        <w:jc w:val="both"/>
        <w:rPr>
          <w:rFonts w:ascii="Bookman Old Style" w:eastAsia="Calibri" w:hAnsi="Bookman Old Style"/>
          <w:sz w:val="27"/>
          <w:szCs w:val="27"/>
          <w:lang w:eastAsia="es-ES"/>
        </w:rPr>
      </w:pPr>
    </w:p>
    <w:p w14:paraId="21F0D4E3" w14:textId="58C6DD3F" w:rsidR="00F17B47" w:rsidRPr="00D06CB8" w:rsidRDefault="00F17B47" w:rsidP="00892E8E">
      <w:pPr>
        <w:pStyle w:val="Prrafodelista"/>
        <w:numPr>
          <w:ilvl w:val="0"/>
          <w:numId w:val="28"/>
        </w:numPr>
        <w:spacing w:after="0" w:line="360" w:lineRule="auto"/>
        <w:ind w:left="0" w:firstLine="567"/>
        <w:jc w:val="both"/>
        <w:rPr>
          <w:rFonts w:ascii="Bookman Old Style" w:eastAsia="Calibri" w:hAnsi="Bookman Old Style"/>
          <w:b/>
          <w:bCs/>
          <w:sz w:val="27"/>
          <w:szCs w:val="27"/>
          <w:lang w:eastAsia="es-ES"/>
        </w:rPr>
      </w:pPr>
      <w:r w:rsidRPr="00D06CB8">
        <w:rPr>
          <w:rFonts w:ascii="Bookman Old Style" w:eastAsia="Calibri" w:hAnsi="Bookman Old Style"/>
          <w:b/>
          <w:bCs/>
          <w:sz w:val="27"/>
          <w:szCs w:val="27"/>
          <w:lang w:eastAsia="es-ES"/>
        </w:rPr>
        <w:t xml:space="preserve">Medidas de restablecimiento del derecho </w:t>
      </w:r>
    </w:p>
    <w:p w14:paraId="1027EB36" w14:textId="77777777" w:rsidR="002C223F" w:rsidRPr="00D06CB8" w:rsidRDefault="002C223F" w:rsidP="00892E8E">
      <w:pPr>
        <w:spacing w:after="0" w:line="360" w:lineRule="auto"/>
        <w:ind w:firstLine="567"/>
        <w:jc w:val="both"/>
        <w:rPr>
          <w:rFonts w:ascii="Bookman Old Style" w:hAnsi="Bookman Old Style"/>
          <w:sz w:val="27"/>
          <w:szCs w:val="27"/>
          <w:lang w:val="es-CO" w:eastAsia="es-MX"/>
        </w:rPr>
      </w:pPr>
    </w:p>
    <w:p w14:paraId="58FE37B0" w14:textId="28951652" w:rsidR="00D373D7" w:rsidRPr="00D06CB8" w:rsidRDefault="00D373D7" w:rsidP="00892E8E">
      <w:pPr>
        <w:pStyle w:val="Prrafodelista"/>
        <w:numPr>
          <w:ilvl w:val="0"/>
          <w:numId w:val="15"/>
        </w:numPr>
        <w:spacing w:after="0" w:line="360" w:lineRule="auto"/>
        <w:ind w:left="0" w:firstLine="567"/>
        <w:jc w:val="both"/>
        <w:rPr>
          <w:rFonts w:ascii="Bookman Old Style" w:hAnsi="Bookman Old Style"/>
          <w:sz w:val="27"/>
          <w:szCs w:val="27"/>
          <w:lang w:val="es-CO" w:eastAsia="es-MX"/>
        </w:rPr>
      </w:pPr>
      <w:r w:rsidRPr="00D06CB8">
        <w:rPr>
          <w:rFonts w:ascii="Bookman Old Style" w:hAnsi="Bookman Old Style"/>
          <w:sz w:val="27"/>
          <w:szCs w:val="27"/>
          <w:lang w:val="es-CO" w:eastAsia="es-MX"/>
        </w:rPr>
        <w:t>El restablecimiento del derecho constituye una garantía constitucional de las víctimas y una finalidad autónoma del proceso penal. Por ello, la actuación penal no agota su función en declarar la responsabilidad del acusado ni en imponer la pena</w:t>
      </w:r>
      <w:r w:rsidR="00CF23FE" w:rsidRPr="00D06CB8">
        <w:rPr>
          <w:rFonts w:ascii="Bookman Old Style" w:hAnsi="Bookman Old Style"/>
          <w:sz w:val="27"/>
          <w:szCs w:val="27"/>
          <w:lang w:val="es-CO" w:eastAsia="es-MX"/>
        </w:rPr>
        <w:t>;</w:t>
      </w:r>
      <w:r w:rsidRPr="00D06CB8">
        <w:rPr>
          <w:rFonts w:ascii="Bookman Old Style" w:hAnsi="Bookman Old Style"/>
          <w:sz w:val="27"/>
          <w:szCs w:val="27"/>
          <w:lang w:val="es-CO" w:eastAsia="es-MX"/>
        </w:rPr>
        <w:t xml:space="preserve"> </w:t>
      </w:r>
      <w:r w:rsidR="00CF23FE" w:rsidRPr="00D06CB8">
        <w:rPr>
          <w:rFonts w:ascii="Bookman Old Style" w:hAnsi="Bookman Old Style"/>
          <w:sz w:val="27"/>
          <w:szCs w:val="27"/>
          <w:lang w:val="es-CO" w:eastAsia="es-MX"/>
        </w:rPr>
        <w:t>t</w:t>
      </w:r>
      <w:r w:rsidRPr="00D06CB8">
        <w:rPr>
          <w:rFonts w:ascii="Bookman Old Style" w:hAnsi="Bookman Old Style"/>
          <w:sz w:val="27"/>
          <w:szCs w:val="27"/>
          <w:lang w:val="es-CO" w:eastAsia="es-MX"/>
        </w:rPr>
        <w:t xml:space="preserve">ambién debe remover las consecuencias jurídicas o materiales que la conducta punible produjo </w:t>
      </w:r>
      <w:r w:rsidR="00CF23FE" w:rsidRPr="00D06CB8">
        <w:rPr>
          <w:rFonts w:ascii="Bookman Old Style" w:hAnsi="Bookman Old Style"/>
          <w:sz w:val="27"/>
          <w:szCs w:val="27"/>
          <w:lang w:val="es-CO" w:eastAsia="es-MX"/>
        </w:rPr>
        <w:t>en</w:t>
      </w:r>
      <w:r w:rsidRPr="00D06CB8">
        <w:rPr>
          <w:rFonts w:ascii="Bookman Old Style" w:hAnsi="Bookman Old Style"/>
          <w:sz w:val="27"/>
          <w:szCs w:val="27"/>
          <w:lang w:val="es-CO" w:eastAsia="es-MX"/>
        </w:rPr>
        <w:t xml:space="preserve"> el derecho afectado</w:t>
      </w:r>
      <w:r w:rsidRPr="00D06CB8">
        <w:rPr>
          <w:rStyle w:val="Refdenotaalpie"/>
          <w:rFonts w:ascii="Bookman Old Style" w:hAnsi="Bookman Old Style"/>
          <w:sz w:val="27"/>
          <w:szCs w:val="27"/>
          <w:lang w:eastAsia="es-MX"/>
        </w:rPr>
        <w:footnoteReference w:id="23"/>
      </w:r>
      <w:r w:rsidRPr="00D06CB8">
        <w:rPr>
          <w:rFonts w:ascii="Bookman Old Style" w:hAnsi="Bookman Old Style"/>
          <w:sz w:val="27"/>
          <w:szCs w:val="27"/>
          <w:lang w:val="es-CO" w:eastAsia="es-MX"/>
        </w:rPr>
        <w:t>.</w:t>
      </w:r>
    </w:p>
    <w:p w14:paraId="2BAB4749" w14:textId="77777777" w:rsidR="00D373D7" w:rsidRPr="00D06CB8" w:rsidRDefault="00D373D7" w:rsidP="00892E8E">
      <w:pPr>
        <w:spacing w:after="0" w:line="360" w:lineRule="auto"/>
        <w:ind w:firstLine="567"/>
        <w:jc w:val="both"/>
        <w:rPr>
          <w:rFonts w:ascii="Bookman Old Style" w:hAnsi="Bookman Old Style"/>
          <w:sz w:val="27"/>
          <w:szCs w:val="27"/>
          <w:lang w:val="es-CO" w:eastAsia="es-MX"/>
        </w:rPr>
      </w:pPr>
    </w:p>
    <w:p w14:paraId="2D6E13E7" w14:textId="2D09B862" w:rsidR="00D373D7" w:rsidRPr="00D06CB8" w:rsidRDefault="00D373D7" w:rsidP="00892E8E">
      <w:pPr>
        <w:pStyle w:val="Prrafodelista"/>
        <w:numPr>
          <w:ilvl w:val="0"/>
          <w:numId w:val="15"/>
        </w:numPr>
        <w:spacing w:after="0" w:line="360" w:lineRule="auto"/>
        <w:ind w:left="0" w:firstLine="567"/>
        <w:jc w:val="both"/>
        <w:rPr>
          <w:rFonts w:ascii="Bookman Old Style" w:hAnsi="Bookman Old Style"/>
          <w:sz w:val="27"/>
          <w:szCs w:val="27"/>
          <w:lang w:val="es-CO" w:eastAsia="es-MX"/>
        </w:rPr>
      </w:pPr>
      <w:r w:rsidRPr="00D06CB8">
        <w:rPr>
          <w:rFonts w:ascii="Bookman Old Style" w:hAnsi="Bookman Old Style"/>
          <w:sz w:val="27"/>
          <w:szCs w:val="27"/>
          <w:lang w:val="es-CO" w:eastAsia="es-MX"/>
        </w:rPr>
        <w:t xml:space="preserve">Ese mandato encuentra apoyo directo en el artículo 250 de la Constitución Política, que atribuye a la Fiscalía General de la Nación </w:t>
      </w:r>
      <w:r w:rsidR="00892E8E" w:rsidRPr="00D06CB8">
        <w:rPr>
          <w:rFonts w:ascii="Bookman Old Style" w:hAnsi="Bookman Old Style"/>
          <w:sz w:val="27"/>
          <w:szCs w:val="27"/>
          <w:lang w:val="es-CO" w:eastAsia="es-MX"/>
        </w:rPr>
        <w:t xml:space="preserve">los </w:t>
      </w:r>
      <w:r w:rsidRPr="00D06CB8">
        <w:rPr>
          <w:rFonts w:ascii="Bookman Old Style" w:hAnsi="Bookman Old Style"/>
          <w:sz w:val="27"/>
          <w:szCs w:val="27"/>
          <w:lang w:val="es-CO" w:eastAsia="es-MX"/>
        </w:rPr>
        <w:t>deberes de protección y restablecimiento</w:t>
      </w:r>
      <w:r w:rsidR="00CF23FE" w:rsidRPr="00D06CB8">
        <w:rPr>
          <w:rFonts w:ascii="Bookman Old Style" w:hAnsi="Bookman Old Style"/>
          <w:sz w:val="27"/>
          <w:szCs w:val="27"/>
          <w:lang w:val="es-CO" w:eastAsia="es-MX"/>
        </w:rPr>
        <w:t xml:space="preserve"> de derechos</w:t>
      </w:r>
      <w:r w:rsidRPr="00D06CB8">
        <w:rPr>
          <w:rFonts w:ascii="Bookman Old Style" w:hAnsi="Bookman Old Style"/>
          <w:sz w:val="27"/>
          <w:szCs w:val="27"/>
          <w:lang w:val="es-CO" w:eastAsia="es-MX"/>
        </w:rPr>
        <w:t>. Además, los artículos 34 y 58 de la Carta Política fijan una regla esencial: el orden jurídico solo ampara la propiedad y los derechos adquiridos con origen lícito. De ahí deriva una consecuencia necesaria: el delito no puede crear derechos, consolidar ventajas patrimoniales ni conservar situaciones contrarias a la ley</w:t>
      </w:r>
      <w:r w:rsidR="007D7D4A" w:rsidRPr="00D06CB8">
        <w:rPr>
          <w:rStyle w:val="Refdenotaalpie"/>
          <w:rFonts w:ascii="Bookman Old Style" w:hAnsi="Bookman Old Style"/>
          <w:sz w:val="27"/>
          <w:szCs w:val="27"/>
          <w:lang w:val="es-CO" w:eastAsia="es-MX"/>
        </w:rPr>
        <w:footnoteReference w:id="24"/>
      </w:r>
      <w:r w:rsidR="00892E8E" w:rsidRPr="00D06CB8">
        <w:rPr>
          <w:rFonts w:ascii="Bookman Old Style" w:hAnsi="Bookman Old Style"/>
          <w:sz w:val="27"/>
          <w:szCs w:val="27"/>
          <w:lang w:val="es-CO" w:eastAsia="es-MX"/>
        </w:rPr>
        <w:t>.</w:t>
      </w:r>
    </w:p>
    <w:p w14:paraId="4697DD5E" w14:textId="61584399" w:rsidR="002C223F" w:rsidRPr="00D06CB8" w:rsidRDefault="002C223F" w:rsidP="00AC267A">
      <w:pPr>
        <w:pStyle w:val="Prrafodelista"/>
        <w:numPr>
          <w:ilvl w:val="0"/>
          <w:numId w:val="15"/>
        </w:numPr>
        <w:spacing w:after="0" w:line="360" w:lineRule="auto"/>
        <w:ind w:left="0" w:firstLine="567"/>
        <w:jc w:val="both"/>
        <w:rPr>
          <w:rFonts w:ascii="Bookman Old Style" w:hAnsi="Bookman Old Style"/>
          <w:sz w:val="27"/>
          <w:szCs w:val="27"/>
          <w:lang w:val="es-CO" w:eastAsia="es-MX"/>
        </w:rPr>
      </w:pPr>
      <w:r w:rsidRPr="00D06CB8">
        <w:rPr>
          <w:rFonts w:ascii="Bookman Old Style" w:hAnsi="Bookman Old Style"/>
          <w:sz w:val="27"/>
          <w:szCs w:val="27"/>
          <w:lang w:val="es-CO" w:eastAsia="es-MX"/>
        </w:rPr>
        <w:lastRenderedPageBreak/>
        <w:t xml:space="preserve"> El artículo 22 de la Ley 906 de 2004 concreta ese mandato en el sistema penal acusatorio. Conforme a esta norma, la Fiscalía General de la Nación y los jueces deben adoptar, cuando resulte procedente, las medidas necesarias para hacer cesar los efectos producidos por el delito y procurar que las cosas retornen al estado anterior, si ello resulta posible. </w:t>
      </w:r>
    </w:p>
    <w:p w14:paraId="40A2F461" w14:textId="77777777" w:rsidR="002C223F" w:rsidRPr="00D06CB8" w:rsidRDefault="002C223F" w:rsidP="00AC267A">
      <w:pPr>
        <w:spacing w:after="0" w:line="360" w:lineRule="auto"/>
        <w:ind w:firstLine="567"/>
        <w:jc w:val="both"/>
        <w:rPr>
          <w:rFonts w:ascii="Bookman Old Style" w:hAnsi="Bookman Old Style"/>
          <w:sz w:val="27"/>
          <w:szCs w:val="27"/>
          <w:lang w:val="es-CO" w:eastAsia="es-MX"/>
        </w:rPr>
      </w:pPr>
    </w:p>
    <w:p w14:paraId="1EE79FFF" w14:textId="4686CD67" w:rsidR="002C223F" w:rsidRPr="00D06CB8" w:rsidRDefault="00653DCA" w:rsidP="00892E8E">
      <w:pPr>
        <w:pStyle w:val="Prrafodelista"/>
        <w:numPr>
          <w:ilvl w:val="0"/>
          <w:numId w:val="15"/>
        </w:numPr>
        <w:spacing w:after="0" w:line="360" w:lineRule="auto"/>
        <w:ind w:left="0" w:firstLine="567"/>
        <w:jc w:val="both"/>
        <w:rPr>
          <w:rFonts w:ascii="Bookman Old Style" w:hAnsi="Bookman Old Style"/>
          <w:sz w:val="27"/>
          <w:szCs w:val="27"/>
          <w:lang w:val="es-CO" w:eastAsia="es-MX"/>
        </w:rPr>
      </w:pPr>
      <w:r w:rsidRPr="00D06CB8">
        <w:rPr>
          <w:rFonts w:ascii="Bookman Old Style" w:hAnsi="Bookman Old Style"/>
          <w:sz w:val="27"/>
          <w:szCs w:val="27"/>
          <w:lang w:eastAsia="es-MX"/>
        </w:rPr>
        <w:t>Esta comprensión explica la proyección temporal del restablecimiento del derecho. La medida no depende de una fase específica del proceso, sino de la subsistencia de los efectos que el delito produce sobre la víctima. Por eso, mientras permanezca una consecuencia jurídica o material atribuible a la conducta punible, el juez conserva competencia para removerla, aun cuando la acción penal haya terminado por prescripción u otra causal</w:t>
      </w:r>
      <w:r w:rsidRPr="00D06CB8">
        <w:rPr>
          <w:rStyle w:val="Refdenotaalpie"/>
          <w:rFonts w:ascii="Bookman Old Style" w:hAnsi="Bookman Old Style"/>
          <w:sz w:val="27"/>
          <w:szCs w:val="27"/>
          <w:lang w:val="es-CO" w:eastAsia="es-MX"/>
        </w:rPr>
        <w:footnoteReference w:id="25"/>
      </w:r>
      <w:r w:rsidRPr="00D06CB8">
        <w:rPr>
          <w:rFonts w:ascii="Bookman Old Style" w:hAnsi="Bookman Old Style"/>
          <w:sz w:val="27"/>
          <w:szCs w:val="27"/>
          <w:lang w:eastAsia="es-MX"/>
        </w:rPr>
        <w:t>.</w:t>
      </w:r>
    </w:p>
    <w:p w14:paraId="7FB3AC06" w14:textId="77777777" w:rsidR="00653DCA" w:rsidRPr="00D06CB8" w:rsidRDefault="00653DCA" w:rsidP="00892E8E">
      <w:pPr>
        <w:spacing w:after="0" w:line="360" w:lineRule="auto"/>
        <w:ind w:firstLine="567"/>
        <w:jc w:val="both"/>
        <w:rPr>
          <w:rFonts w:ascii="Bookman Old Style" w:hAnsi="Bookman Old Style"/>
          <w:sz w:val="27"/>
          <w:szCs w:val="27"/>
          <w:lang w:val="es-CO" w:eastAsia="es-MX"/>
        </w:rPr>
      </w:pPr>
    </w:p>
    <w:p w14:paraId="12BE87E3" w14:textId="112B708E" w:rsidR="00653DCA" w:rsidRPr="00D06CB8" w:rsidRDefault="00674C54" w:rsidP="00892E8E">
      <w:pPr>
        <w:pStyle w:val="Prrafodelista"/>
        <w:widowControl w:val="0"/>
        <w:numPr>
          <w:ilvl w:val="0"/>
          <w:numId w:val="15"/>
        </w:numPr>
        <w:spacing w:after="0" w:line="360" w:lineRule="auto"/>
        <w:ind w:left="0" w:firstLine="567"/>
        <w:jc w:val="both"/>
        <w:rPr>
          <w:rFonts w:ascii="Bookman Old Style" w:hAnsi="Bookman Old Style"/>
          <w:sz w:val="27"/>
          <w:szCs w:val="27"/>
          <w:lang w:val="es-CO" w:eastAsia="es-MX"/>
        </w:rPr>
      </w:pPr>
      <w:r w:rsidRPr="00D06CB8">
        <w:rPr>
          <w:rFonts w:ascii="Bookman Old Style" w:hAnsi="Bookman Old Style"/>
          <w:sz w:val="27"/>
          <w:szCs w:val="27"/>
          <w:lang w:val="es-CO" w:eastAsia="es-MX"/>
        </w:rPr>
        <w:t xml:space="preserve"> </w:t>
      </w:r>
      <w:r w:rsidR="00653DCA" w:rsidRPr="00D06CB8">
        <w:rPr>
          <w:rFonts w:ascii="Bookman Old Style" w:hAnsi="Bookman Old Style"/>
          <w:sz w:val="27"/>
          <w:szCs w:val="27"/>
          <w:lang w:val="es-CO" w:eastAsia="es-MX"/>
        </w:rPr>
        <w:t xml:space="preserve">En este caso, el restablecimiento exige la entrega material de la finca “Las Mercedes” a Martha Lucía Montiel Morales. La ocupación y explotación que mantuvieron </w:t>
      </w:r>
      <w:r w:rsidR="00653DCA" w:rsidRPr="00D06CB8">
        <w:rPr>
          <w:rFonts w:ascii="Bookman Old Style" w:eastAsia="Calibri" w:hAnsi="Bookman Old Style"/>
          <w:smallCaps/>
          <w:sz w:val="27"/>
          <w:szCs w:val="27"/>
          <w:lang w:val="es-ES" w:eastAsia="es-ES"/>
        </w:rPr>
        <w:t xml:space="preserve">Armando Loaiza Céspedes, Luis Enrique Peña Camacho </w:t>
      </w:r>
      <w:r w:rsidR="00653DCA" w:rsidRPr="00D06CB8">
        <w:rPr>
          <w:rFonts w:ascii="Bookman Old Style" w:eastAsia="Calibri" w:hAnsi="Bookman Old Style"/>
          <w:sz w:val="27"/>
          <w:szCs w:val="27"/>
          <w:lang w:val="es-ES" w:eastAsia="es-ES"/>
        </w:rPr>
        <w:t>y</w:t>
      </w:r>
      <w:r w:rsidR="00653DCA" w:rsidRPr="00D06CB8">
        <w:rPr>
          <w:rFonts w:ascii="Bookman Old Style" w:eastAsia="Calibri" w:hAnsi="Bookman Old Style"/>
          <w:smallCaps/>
          <w:sz w:val="27"/>
          <w:szCs w:val="27"/>
          <w:lang w:val="es-ES" w:eastAsia="es-ES"/>
        </w:rPr>
        <w:t xml:space="preserve"> Édgar Triana</w:t>
      </w:r>
      <w:r w:rsidR="00653DCA" w:rsidRPr="00D06CB8">
        <w:rPr>
          <w:rFonts w:ascii="Bookman Old Style" w:hAnsi="Bookman Old Style"/>
          <w:sz w:val="27"/>
          <w:szCs w:val="27"/>
          <w:lang w:val="es-CO" w:eastAsia="es-MX"/>
        </w:rPr>
        <w:t xml:space="preserve"> carecieron de </w:t>
      </w:r>
      <w:r w:rsidR="00892E8E" w:rsidRPr="00D06CB8">
        <w:rPr>
          <w:rFonts w:ascii="Bookman Old Style" w:hAnsi="Bookman Old Style"/>
          <w:sz w:val="27"/>
          <w:szCs w:val="27"/>
          <w:lang w:val="es-CO" w:eastAsia="es-MX"/>
        </w:rPr>
        <w:t xml:space="preserve">un </w:t>
      </w:r>
      <w:r w:rsidR="00653DCA" w:rsidRPr="00D06CB8">
        <w:rPr>
          <w:rFonts w:ascii="Bookman Old Style" w:hAnsi="Bookman Old Style"/>
          <w:sz w:val="27"/>
          <w:szCs w:val="27"/>
          <w:lang w:val="es-CO" w:eastAsia="es-MX"/>
        </w:rPr>
        <w:t>título, derecho real, autorización de la propietaria o decisión judicial que las amparara; provinieron de la invasión que esta sentencia declaró probada y continuaron mediante cercas, cultivos, pastoreo, corrales y aprovechamiento económico del terreno. Por eso, una decisión limitada a confirmar la condena dejaría vigente el efecto principal del delito</w:t>
      </w:r>
      <w:r w:rsidR="00892E8E" w:rsidRPr="00D06CB8">
        <w:rPr>
          <w:rFonts w:ascii="Bookman Old Style" w:hAnsi="Bookman Old Style"/>
          <w:sz w:val="27"/>
          <w:szCs w:val="27"/>
          <w:lang w:val="es-CO" w:eastAsia="es-MX"/>
        </w:rPr>
        <w:t>, esto es,</w:t>
      </w:r>
      <w:r w:rsidR="00653DCA" w:rsidRPr="00D06CB8">
        <w:rPr>
          <w:rFonts w:ascii="Bookman Old Style" w:hAnsi="Bookman Old Style"/>
          <w:sz w:val="27"/>
          <w:szCs w:val="27"/>
          <w:lang w:val="es-CO" w:eastAsia="es-MX"/>
        </w:rPr>
        <w:t xml:space="preserve"> la privación del goce efectivo del predio. </w:t>
      </w:r>
      <w:r w:rsidR="00892E8E" w:rsidRPr="00D06CB8">
        <w:rPr>
          <w:rFonts w:ascii="Bookman Old Style" w:hAnsi="Bookman Old Style"/>
          <w:sz w:val="27"/>
          <w:szCs w:val="27"/>
          <w:lang w:val="es-CO" w:eastAsia="es-MX"/>
        </w:rPr>
        <w:t>Y ello tiene una razón de ser, pues e</w:t>
      </w:r>
      <w:r w:rsidR="00653DCA" w:rsidRPr="00D06CB8">
        <w:rPr>
          <w:rFonts w:ascii="Bookman Old Style" w:hAnsi="Bookman Old Style"/>
          <w:sz w:val="27"/>
          <w:szCs w:val="27"/>
          <w:lang w:val="es-CO" w:eastAsia="es-MX"/>
        </w:rPr>
        <w:t>l orden</w:t>
      </w:r>
      <w:r w:rsidR="00892E8E" w:rsidRPr="00D06CB8">
        <w:rPr>
          <w:rFonts w:ascii="Bookman Old Style" w:hAnsi="Bookman Old Style"/>
          <w:sz w:val="27"/>
          <w:szCs w:val="27"/>
          <w:lang w:val="es-CO" w:eastAsia="es-MX"/>
        </w:rPr>
        <w:t>amiento</w:t>
      </w:r>
      <w:r w:rsidR="00653DCA" w:rsidRPr="00D06CB8">
        <w:rPr>
          <w:rFonts w:ascii="Bookman Old Style" w:hAnsi="Bookman Old Style"/>
          <w:sz w:val="27"/>
          <w:szCs w:val="27"/>
          <w:lang w:val="es-CO" w:eastAsia="es-MX"/>
        </w:rPr>
        <w:t xml:space="preserve"> jurídico no reconoce derechos ni beneficios nacidos de una </w:t>
      </w:r>
      <w:r w:rsidR="00653DCA" w:rsidRPr="00D06CB8">
        <w:rPr>
          <w:rFonts w:ascii="Bookman Old Style" w:hAnsi="Bookman Old Style"/>
          <w:sz w:val="27"/>
          <w:szCs w:val="27"/>
          <w:lang w:val="es-CO" w:eastAsia="es-MX"/>
        </w:rPr>
        <w:lastRenderedPageBreak/>
        <w:t>conducta punible.</w:t>
      </w:r>
    </w:p>
    <w:p w14:paraId="5E9EF5DC" w14:textId="77777777" w:rsidR="00674C54" w:rsidRPr="00D06CB8" w:rsidRDefault="00674C54" w:rsidP="00892E8E">
      <w:pPr>
        <w:widowControl w:val="0"/>
        <w:spacing w:after="0" w:line="360" w:lineRule="auto"/>
        <w:ind w:firstLine="567"/>
        <w:jc w:val="both"/>
        <w:rPr>
          <w:rFonts w:ascii="Bookman Old Style" w:hAnsi="Bookman Old Style"/>
          <w:sz w:val="27"/>
          <w:szCs w:val="27"/>
          <w:lang w:val="es-CO" w:eastAsia="es-MX"/>
        </w:rPr>
      </w:pPr>
    </w:p>
    <w:p w14:paraId="134AE56C" w14:textId="5E8F0E75" w:rsidR="00674C54" w:rsidRPr="00D06CB8" w:rsidRDefault="00674C54" w:rsidP="00892E8E">
      <w:pPr>
        <w:pStyle w:val="Prrafodelista"/>
        <w:widowControl w:val="0"/>
        <w:numPr>
          <w:ilvl w:val="0"/>
          <w:numId w:val="15"/>
        </w:numPr>
        <w:spacing w:after="0" w:line="360" w:lineRule="auto"/>
        <w:ind w:left="0" w:firstLine="567"/>
        <w:jc w:val="both"/>
        <w:rPr>
          <w:rFonts w:ascii="Bookman Old Style" w:hAnsi="Bookman Old Style"/>
          <w:sz w:val="27"/>
          <w:szCs w:val="27"/>
          <w:lang w:val="es-CO" w:eastAsia="es-MX"/>
        </w:rPr>
      </w:pPr>
      <w:r w:rsidRPr="00D06CB8">
        <w:rPr>
          <w:rFonts w:ascii="Bookman Old Style" w:hAnsi="Bookman Old Style"/>
          <w:sz w:val="27"/>
          <w:szCs w:val="27"/>
          <w:lang w:val="es-CO" w:eastAsia="es-MX"/>
        </w:rPr>
        <w:t xml:space="preserve"> </w:t>
      </w:r>
      <w:r w:rsidR="00892E8E" w:rsidRPr="00D06CB8">
        <w:rPr>
          <w:rFonts w:ascii="Bookman Old Style" w:hAnsi="Bookman Old Style"/>
          <w:sz w:val="27"/>
          <w:szCs w:val="27"/>
          <w:lang w:val="es-CO" w:eastAsia="es-MX"/>
        </w:rPr>
        <w:t>Por lo anterior, c</w:t>
      </w:r>
      <w:r w:rsidRPr="00D06CB8">
        <w:rPr>
          <w:rFonts w:ascii="Bookman Old Style" w:hAnsi="Bookman Old Style"/>
          <w:sz w:val="27"/>
          <w:szCs w:val="27"/>
          <w:lang w:val="es-CO" w:eastAsia="es-MX"/>
        </w:rPr>
        <w:t xml:space="preserve">on fundamento en el artículo 22 </w:t>
      </w:r>
      <w:r w:rsidR="00CF23FE" w:rsidRPr="00D06CB8">
        <w:rPr>
          <w:rFonts w:ascii="Bookman Old Style" w:hAnsi="Bookman Old Style"/>
          <w:sz w:val="27"/>
          <w:szCs w:val="27"/>
          <w:lang w:val="es-CO" w:eastAsia="es-MX"/>
        </w:rPr>
        <w:t>CPP</w:t>
      </w:r>
      <w:r w:rsidRPr="00D06CB8">
        <w:rPr>
          <w:rFonts w:ascii="Bookman Old Style" w:hAnsi="Bookman Old Style"/>
          <w:sz w:val="27"/>
          <w:szCs w:val="27"/>
          <w:lang w:val="es-CO" w:eastAsia="es-MX"/>
        </w:rPr>
        <w:t xml:space="preserve">, la Sala ordenará la entrega material del inmueble a Martha Lucía Montiel Morales, sin admitir oposición alguna de los condenados o de personas cuya permanencia derive de ellos. Esta orden busca hacer cesar los efectos de la invasión, retirar los obstáculos materiales que impiden el uso del predio y restablecer la situación alterada por la conducta punible. Esta medida no agrava la pena ni introduce una consecuencia punitiva adicional, únicamente </w:t>
      </w:r>
      <w:r w:rsidR="000254B2" w:rsidRPr="00D06CB8">
        <w:rPr>
          <w:rFonts w:ascii="Bookman Old Style" w:hAnsi="Bookman Old Style"/>
          <w:sz w:val="27"/>
          <w:szCs w:val="27"/>
          <w:lang w:val="es-CO" w:eastAsia="es-MX"/>
        </w:rPr>
        <w:t>brinda</w:t>
      </w:r>
      <w:r w:rsidRPr="00D06CB8">
        <w:rPr>
          <w:rFonts w:ascii="Bookman Old Style" w:hAnsi="Bookman Old Style"/>
          <w:sz w:val="27"/>
          <w:szCs w:val="27"/>
          <w:lang w:val="es-CO" w:eastAsia="es-MX"/>
        </w:rPr>
        <w:t xml:space="preserve"> eficacia al restablecimiento del derecho </w:t>
      </w:r>
      <w:r w:rsidR="000254B2" w:rsidRPr="00D06CB8">
        <w:rPr>
          <w:rFonts w:ascii="Bookman Old Style" w:hAnsi="Bookman Old Style"/>
          <w:sz w:val="27"/>
          <w:szCs w:val="27"/>
          <w:lang w:val="es-CO" w:eastAsia="es-MX"/>
        </w:rPr>
        <w:t>de</w:t>
      </w:r>
      <w:r w:rsidRPr="00D06CB8">
        <w:rPr>
          <w:rFonts w:ascii="Bookman Old Style" w:hAnsi="Bookman Old Style"/>
          <w:sz w:val="27"/>
          <w:szCs w:val="27"/>
          <w:lang w:val="es-CO" w:eastAsia="es-MX"/>
        </w:rPr>
        <w:t xml:space="preserve"> una ocupación </w:t>
      </w:r>
      <w:r w:rsidR="000254B2" w:rsidRPr="00D06CB8">
        <w:rPr>
          <w:rFonts w:ascii="Bookman Old Style" w:hAnsi="Bookman Old Style"/>
          <w:sz w:val="27"/>
          <w:szCs w:val="27"/>
          <w:lang w:val="es-CO" w:eastAsia="es-MX"/>
        </w:rPr>
        <w:t>ilegítima</w:t>
      </w:r>
      <w:r w:rsidRPr="00D06CB8">
        <w:rPr>
          <w:rFonts w:ascii="Bookman Old Style" w:hAnsi="Bookman Old Style"/>
          <w:sz w:val="27"/>
          <w:szCs w:val="27"/>
          <w:lang w:val="es-CO" w:eastAsia="es-MX"/>
        </w:rPr>
        <w:t>.</w:t>
      </w:r>
    </w:p>
    <w:p w14:paraId="3B50144F" w14:textId="77777777" w:rsidR="00674C54" w:rsidRPr="00D06CB8" w:rsidRDefault="00674C54" w:rsidP="00674C54">
      <w:pPr>
        <w:widowControl w:val="0"/>
        <w:spacing w:after="0" w:line="360" w:lineRule="auto"/>
        <w:ind w:firstLine="567"/>
        <w:jc w:val="both"/>
        <w:rPr>
          <w:rFonts w:ascii="Bookman Old Style" w:hAnsi="Bookman Old Style"/>
          <w:sz w:val="27"/>
          <w:szCs w:val="27"/>
          <w:lang w:val="es-CO" w:eastAsia="es-MX"/>
        </w:rPr>
      </w:pPr>
    </w:p>
    <w:p w14:paraId="39B39739" w14:textId="4F5AAF79" w:rsidR="00653DCA" w:rsidRPr="00D06CB8" w:rsidRDefault="00674C54" w:rsidP="00653DCA">
      <w:pPr>
        <w:widowControl w:val="0"/>
        <w:spacing w:after="0" w:line="360" w:lineRule="auto"/>
        <w:ind w:firstLine="567"/>
        <w:jc w:val="both"/>
        <w:rPr>
          <w:rFonts w:ascii="Bookman Old Style" w:hAnsi="Bookman Old Style"/>
          <w:sz w:val="27"/>
          <w:szCs w:val="27"/>
          <w:lang w:val="es-CO" w:eastAsia="es-MX"/>
        </w:rPr>
      </w:pPr>
      <w:r w:rsidRPr="00D06CB8">
        <w:rPr>
          <w:rFonts w:ascii="Bookman Old Style" w:hAnsi="Bookman Old Style"/>
          <w:sz w:val="27"/>
          <w:szCs w:val="27"/>
          <w:lang w:val="es-CO" w:eastAsia="es-MX"/>
        </w:rPr>
        <w:t xml:space="preserve">36. La ejecución material de esa orden </w:t>
      </w:r>
      <w:r w:rsidR="000254B2" w:rsidRPr="00D06CB8">
        <w:rPr>
          <w:rFonts w:ascii="Bookman Old Style" w:hAnsi="Bookman Old Style"/>
          <w:sz w:val="27"/>
          <w:szCs w:val="27"/>
          <w:lang w:val="es-CO" w:eastAsia="es-MX"/>
        </w:rPr>
        <w:t xml:space="preserve">le </w:t>
      </w:r>
      <w:r w:rsidRPr="00D06CB8">
        <w:rPr>
          <w:rFonts w:ascii="Bookman Old Style" w:hAnsi="Bookman Old Style"/>
          <w:sz w:val="27"/>
          <w:szCs w:val="27"/>
          <w:lang w:val="es-CO" w:eastAsia="es-MX"/>
        </w:rPr>
        <w:t>corresponderá al Juzgado Primero Promiscuo Municipal de Purificación que</w:t>
      </w:r>
      <w:r w:rsidR="000254B2" w:rsidRPr="00D06CB8">
        <w:rPr>
          <w:rFonts w:ascii="Bookman Old Style" w:hAnsi="Bookman Old Style"/>
          <w:sz w:val="27"/>
          <w:szCs w:val="27"/>
          <w:lang w:val="es-CO" w:eastAsia="es-MX"/>
        </w:rPr>
        <w:t>, además,</w:t>
      </w:r>
      <w:r w:rsidRPr="00D06CB8">
        <w:rPr>
          <w:rFonts w:ascii="Bookman Old Style" w:hAnsi="Bookman Old Style"/>
          <w:sz w:val="27"/>
          <w:szCs w:val="27"/>
          <w:lang w:val="es-CO" w:eastAsia="es-MX"/>
        </w:rPr>
        <w:t xml:space="preserve"> cuenta con cercanía territorial para coordinar la diligencia con las autoridades locales. Por tanto, ese despacho deberá adoptar, dentro de los treinta días siguientes a la comunicación de esta sentencia</w:t>
      </w:r>
      <w:r w:rsidR="000254B2" w:rsidRPr="00D06CB8">
        <w:rPr>
          <w:rFonts w:ascii="Bookman Old Style" w:hAnsi="Bookman Old Style"/>
          <w:sz w:val="27"/>
          <w:szCs w:val="27"/>
          <w:lang w:val="es-CO" w:eastAsia="es-MX"/>
        </w:rPr>
        <w:t>,</w:t>
      </w:r>
      <w:r w:rsidRPr="00D06CB8">
        <w:rPr>
          <w:rFonts w:ascii="Bookman Old Style" w:hAnsi="Bookman Old Style"/>
          <w:sz w:val="27"/>
          <w:szCs w:val="27"/>
          <w:lang w:val="es-CO" w:eastAsia="es-MX"/>
        </w:rPr>
        <w:t xml:space="preserve"> las medidas necesarias para entregar materialmente a la víctima las áreas ocupadas y explotadas por los condenados. </w:t>
      </w:r>
    </w:p>
    <w:p w14:paraId="299B0DCC" w14:textId="77777777" w:rsidR="00653DCA" w:rsidRPr="00D06CB8" w:rsidRDefault="00653DCA" w:rsidP="00653DCA">
      <w:pPr>
        <w:widowControl w:val="0"/>
        <w:spacing w:after="0" w:line="360" w:lineRule="auto"/>
        <w:ind w:firstLine="567"/>
        <w:jc w:val="both"/>
        <w:rPr>
          <w:rFonts w:ascii="Bookman Old Style" w:hAnsi="Bookman Old Style"/>
          <w:sz w:val="27"/>
          <w:szCs w:val="27"/>
          <w:lang w:val="es-CO" w:eastAsia="es-MX"/>
        </w:rPr>
      </w:pPr>
    </w:p>
    <w:p w14:paraId="26040071" w14:textId="35F7B57A" w:rsidR="00520EBC" w:rsidRPr="00D06CB8" w:rsidRDefault="00674C54" w:rsidP="00653DCA">
      <w:pPr>
        <w:widowControl w:val="0"/>
        <w:spacing w:after="0" w:line="360" w:lineRule="auto"/>
        <w:ind w:firstLine="567"/>
        <w:jc w:val="both"/>
        <w:rPr>
          <w:rFonts w:ascii="Bookman Old Style" w:hAnsi="Bookman Old Style"/>
          <w:sz w:val="27"/>
          <w:szCs w:val="27"/>
          <w:lang w:val="es-CO" w:eastAsia="es-MX"/>
        </w:rPr>
      </w:pPr>
      <w:r w:rsidRPr="00D06CB8">
        <w:rPr>
          <w:rFonts w:ascii="Bookman Old Style" w:hAnsi="Bookman Old Style"/>
          <w:sz w:val="27"/>
          <w:szCs w:val="27"/>
          <w:lang w:val="es-CO" w:eastAsia="es-MX"/>
        </w:rPr>
        <w:t>Para cumplir esa finalidad, podrá requerir el apoyo de la autoridad de policía y de la fuerza pública, si ello resulta necesario, y deberá impedir cualquier oposición fundada en la ocupación ilícita que esta sentencia declaró probada</w:t>
      </w:r>
      <w:r w:rsidR="00E65D80" w:rsidRPr="00D06CB8">
        <w:rPr>
          <w:rStyle w:val="Refdenotaalpie"/>
          <w:rFonts w:ascii="Bookman Old Style" w:hAnsi="Bookman Old Style"/>
          <w:sz w:val="27"/>
          <w:szCs w:val="27"/>
          <w:lang w:val="es-CO" w:eastAsia="es-MX"/>
        </w:rPr>
        <w:footnoteReference w:id="26"/>
      </w:r>
      <w:r w:rsidRPr="00D06CB8">
        <w:rPr>
          <w:rFonts w:ascii="Bookman Old Style" w:hAnsi="Bookman Old Style"/>
          <w:sz w:val="27"/>
          <w:szCs w:val="27"/>
          <w:lang w:val="es-CO" w:eastAsia="es-MX"/>
        </w:rPr>
        <w:t>.</w:t>
      </w:r>
    </w:p>
    <w:p w14:paraId="3D2789E3" w14:textId="77777777" w:rsidR="00653DCA" w:rsidRDefault="00653DCA" w:rsidP="00653DCA">
      <w:pPr>
        <w:widowControl w:val="0"/>
        <w:spacing w:after="0" w:line="360" w:lineRule="auto"/>
        <w:jc w:val="both"/>
        <w:rPr>
          <w:rFonts w:ascii="Bookman Old Style" w:eastAsia="Calibri" w:hAnsi="Bookman Old Style"/>
          <w:sz w:val="27"/>
          <w:szCs w:val="27"/>
          <w:lang w:val="es-CO" w:eastAsia="es-ES"/>
        </w:rPr>
      </w:pPr>
    </w:p>
    <w:p w14:paraId="297508C9" w14:textId="77777777" w:rsidR="00D06CB8" w:rsidRPr="00D06CB8" w:rsidRDefault="00D06CB8" w:rsidP="00653DCA">
      <w:pPr>
        <w:widowControl w:val="0"/>
        <w:spacing w:after="0" w:line="360" w:lineRule="auto"/>
        <w:jc w:val="both"/>
        <w:rPr>
          <w:rFonts w:ascii="Bookman Old Style" w:eastAsia="Calibri" w:hAnsi="Bookman Old Style"/>
          <w:sz w:val="27"/>
          <w:szCs w:val="27"/>
          <w:lang w:val="es-CO" w:eastAsia="es-ES"/>
        </w:rPr>
      </w:pPr>
    </w:p>
    <w:p w14:paraId="0291B8B6" w14:textId="77777777" w:rsidR="00520EBC" w:rsidRPr="00D06CB8" w:rsidRDefault="00520EBC" w:rsidP="0056217D">
      <w:pPr>
        <w:widowControl w:val="0"/>
        <w:tabs>
          <w:tab w:val="left" w:pos="1134"/>
        </w:tabs>
        <w:spacing w:after="0" w:line="360" w:lineRule="auto"/>
        <w:ind w:firstLine="567"/>
        <w:jc w:val="center"/>
        <w:rPr>
          <w:rFonts w:ascii="Bookman Old Style" w:hAnsi="Bookman Old Style" w:cs="Arial"/>
          <w:b/>
          <w:sz w:val="27"/>
          <w:szCs w:val="27"/>
        </w:rPr>
      </w:pPr>
      <w:r w:rsidRPr="00D06CB8">
        <w:rPr>
          <w:rFonts w:ascii="Bookman Old Style" w:hAnsi="Bookman Old Style" w:cs="Arial"/>
          <w:b/>
          <w:sz w:val="27"/>
          <w:szCs w:val="27"/>
        </w:rPr>
        <w:lastRenderedPageBreak/>
        <w:t>VII. DECISIÓN</w:t>
      </w:r>
    </w:p>
    <w:p w14:paraId="2B67C070" w14:textId="77777777" w:rsidR="00520EBC" w:rsidRPr="00D06CB8" w:rsidRDefault="00520EBC" w:rsidP="0056217D">
      <w:pPr>
        <w:widowControl w:val="0"/>
        <w:tabs>
          <w:tab w:val="left" w:pos="1134"/>
        </w:tabs>
        <w:spacing w:after="0" w:line="360" w:lineRule="auto"/>
        <w:ind w:firstLine="567"/>
        <w:jc w:val="both"/>
        <w:rPr>
          <w:rFonts w:ascii="Bookman Old Style" w:hAnsi="Bookman Old Style"/>
          <w:color w:val="000000"/>
          <w:spacing w:val="-3"/>
          <w:sz w:val="27"/>
          <w:szCs w:val="27"/>
        </w:rPr>
      </w:pPr>
    </w:p>
    <w:p w14:paraId="464E4382" w14:textId="77777777" w:rsidR="00520EBC" w:rsidRPr="00D06CB8" w:rsidRDefault="00520EBC" w:rsidP="0056217D">
      <w:pPr>
        <w:spacing w:after="0" w:line="360" w:lineRule="auto"/>
        <w:ind w:firstLine="567"/>
        <w:jc w:val="both"/>
        <w:rPr>
          <w:rFonts w:ascii="Bookman Old Style" w:hAnsi="Bookman Old Style"/>
          <w:sz w:val="27"/>
          <w:szCs w:val="27"/>
        </w:rPr>
      </w:pPr>
      <w:r w:rsidRPr="00D06CB8">
        <w:rPr>
          <w:rFonts w:ascii="Bookman Old Style" w:hAnsi="Bookman Old Style"/>
          <w:sz w:val="27"/>
          <w:szCs w:val="27"/>
        </w:rPr>
        <w:t xml:space="preserve">Por lo expuesto, la Sala de Casación Penal de la Corte Suprema de Justicia, administrando justicia en nombre de la República y por autoridad de la ley,  </w:t>
      </w:r>
    </w:p>
    <w:p w14:paraId="4380B342" w14:textId="77777777" w:rsidR="00520EBC" w:rsidRPr="00D06CB8" w:rsidRDefault="00520EBC" w:rsidP="0056217D">
      <w:pPr>
        <w:tabs>
          <w:tab w:val="left" w:pos="3900"/>
        </w:tabs>
        <w:spacing w:after="0" w:line="360" w:lineRule="auto"/>
        <w:ind w:right="51" w:firstLine="567"/>
        <w:jc w:val="center"/>
        <w:rPr>
          <w:rFonts w:ascii="Bookman Old Style" w:hAnsi="Bookman Old Style" w:cs="Arial"/>
          <w:b/>
          <w:sz w:val="27"/>
          <w:szCs w:val="27"/>
        </w:rPr>
      </w:pPr>
    </w:p>
    <w:p w14:paraId="3B69CD6F" w14:textId="77777777" w:rsidR="00520EBC" w:rsidRPr="00D06CB8" w:rsidRDefault="00520EBC" w:rsidP="0056217D">
      <w:pPr>
        <w:tabs>
          <w:tab w:val="left" w:pos="3900"/>
        </w:tabs>
        <w:spacing w:after="0" w:line="360" w:lineRule="auto"/>
        <w:ind w:right="51" w:firstLine="567"/>
        <w:rPr>
          <w:rFonts w:ascii="Bookman Old Style" w:hAnsi="Bookman Old Style" w:cs="Arial"/>
          <w:b/>
          <w:sz w:val="27"/>
          <w:szCs w:val="27"/>
        </w:rPr>
      </w:pPr>
      <w:r w:rsidRPr="00D06CB8">
        <w:rPr>
          <w:rFonts w:ascii="Bookman Old Style" w:hAnsi="Bookman Old Style" w:cs="Arial"/>
          <w:b/>
          <w:sz w:val="27"/>
          <w:szCs w:val="27"/>
        </w:rPr>
        <w:tab/>
        <w:t>RESUELVE:</w:t>
      </w:r>
    </w:p>
    <w:p w14:paraId="64FAE8B9" w14:textId="77777777" w:rsidR="00520EBC" w:rsidRPr="00D06CB8" w:rsidRDefault="00520EBC" w:rsidP="0056217D">
      <w:pPr>
        <w:widowControl w:val="0"/>
        <w:spacing w:after="0" w:line="360" w:lineRule="auto"/>
        <w:ind w:firstLine="567"/>
        <w:jc w:val="both"/>
        <w:rPr>
          <w:rFonts w:ascii="Bookman Old Style" w:hAnsi="Bookman Old Style"/>
          <w:bCs/>
          <w:color w:val="000000"/>
          <w:spacing w:val="-3"/>
          <w:sz w:val="27"/>
          <w:szCs w:val="27"/>
        </w:rPr>
      </w:pPr>
      <w:r w:rsidRPr="00D06CB8">
        <w:rPr>
          <w:rFonts w:ascii="Bookman Old Style" w:hAnsi="Bookman Old Style"/>
          <w:bCs/>
          <w:color w:val="000000"/>
          <w:spacing w:val="-3"/>
          <w:sz w:val="27"/>
          <w:szCs w:val="27"/>
        </w:rPr>
        <w:t xml:space="preserve"> </w:t>
      </w:r>
    </w:p>
    <w:p w14:paraId="5E855C62" w14:textId="1CD970E6" w:rsidR="00E346B5" w:rsidRPr="00D06CB8" w:rsidRDefault="00E346B5" w:rsidP="6F994DCF">
      <w:pPr>
        <w:pStyle w:val="Textoindependiente21"/>
        <w:ind w:right="-270" w:firstLine="567"/>
        <w:rPr>
          <w:rFonts w:ascii="Bookman Old Style" w:hAnsi="Bookman Old Style"/>
          <w:b/>
          <w:bCs/>
          <w:smallCaps/>
          <w:color w:val="000000"/>
          <w:spacing w:val="-3"/>
          <w:sz w:val="27"/>
          <w:szCs w:val="27"/>
          <w:lang w:val="es-ES"/>
        </w:rPr>
      </w:pPr>
      <w:r w:rsidRPr="00D06CB8">
        <w:rPr>
          <w:rFonts w:ascii="Bookman Old Style" w:hAnsi="Bookman Old Style" w:cs="Arial"/>
          <w:b/>
          <w:bCs/>
          <w:spacing w:val="-3"/>
          <w:sz w:val="27"/>
          <w:szCs w:val="27"/>
          <w:lang w:val="es-ES"/>
        </w:rPr>
        <w:t xml:space="preserve">Primero. </w:t>
      </w:r>
      <w:r w:rsidR="00520EBC" w:rsidRPr="00D06CB8">
        <w:rPr>
          <w:rFonts w:ascii="Bookman Old Style" w:hAnsi="Bookman Old Style" w:cs="Arial"/>
          <w:b/>
          <w:bCs/>
          <w:spacing w:val="-3"/>
          <w:sz w:val="27"/>
          <w:szCs w:val="27"/>
          <w:lang w:val="es-ES"/>
        </w:rPr>
        <w:t xml:space="preserve">Confirmar </w:t>
      </w:r>
      <w:r w:rsidR="00520EBC" w:rsidRPr="00D06CB8">
        <w:rPr>
          <w:rFonts w:ascii="Bookman Old Style" w:hAnsi="Bookman Old Style" w:cs="Arial"/>
          <w:spacing w:val="-3"/>
          <w:sz w:val="27"/>
          <w:szCs w:val="27"/>
          <w:lang w:val="es-ES"/>
        </w:rPr>
        <w:t xml:space="preserve">íntegramente la </w:t>
      </w:r>
      <w:r w:rsidRPr="00D06CB8">
        <w:rPr>
          <w:rFonts w:ascii="Bookman Old Style" w:hAnsi="Bookman Old Style" w:cs="Arial"/>
          <w:spacing w:val="-3"/>
          <w:sz w:val="27"/>
          <w:szCs w:val="27"/>
          <w:lang w:val="es-ES"/>
        </w:rPr>
        <w:t xml:space="preserve">sentencia </w:t>
      </w:r>
      <w:r w:rsidRPr="00D06CB8">
        <w:rPr>
          <w:rFonts w:ascii="Bookman Old Style" w:hAnsi="Bookman Old Style"/>
          <w:spacing w:val="-4"/>
          <w:sz w:val="27"/>
          <w:szCs w:val="27"/>
          <w:lang w:val="es-ES"/>
        </w:rPr>
        <w:t xml:space="preserve">proferida el 22 de abril de 2022 por la Sala Penal del Tribunal Superior de Ibagué. Con esta, revocó el fallo del </w:t>
      </w:r>
      <w:r w:rsidR="00BD1D61" w:rsidRPr="00D06CB8">
        <w:rPr>
          <w:rFonts w:ascii="Bookman Old Style" w:hAnsi="Bookman Old Style"/>
          <w:spacing w:val="-4"/>
          <w:sz w:val="27"/>
          <w:szCs w:val="27"/>
          <w:lang w:val="es-ES"/>
        </w:rPr>
        <w:t>Juzgado Primero Promiscuo Municipal de Purificación</w:t>
      </w:r>
      <w:r w:rsidRPr="00D06CB8">
        <w:rPr>
          <w:rFonts w:ascii="Bookman Old Style" w:hAnsi="Bookman Old Style"/>
          <w:spacing w:val="-4"/>
          <w:sz w:val="27"/>
          <w:szCs w:val="27"/>
          <w:lang w:val="es-ES"/>
        </w:rPr>
        <w:t xml:space="preserve"> y declaró penalmente responsables, por primera vez, a </w:t>
      </w:r>
      <w:r w:rsidRPr="00D06CB8">
        <w:rPr>
          <w:rFonts w:ascii="Bookman Old Style" w:hAnsi="Bookman Old Style"/>
          <w:smallCaps/>
          <w:color w:val="000000"/>
          <w:spacing w:val="-3"/>
          <w:sz w:val="27"/>
          <w:szCs w:val="27"/>
          <w:lang w:val="es-ES"/>
        </w:rPr>
        <w:t xml:space="preserve">Armando Loaiza Céspedes, Luis Enrique Peña Camacho </w:t>
      </w:r>
      <w:r w:rsidRPr="00D06CB8">
        <w:rPr>
          <w:rFonts w:ascii="Bookman Old Style" w:hAnsi="Bookman Old Style"/>
          <w:color w:val="000000"/>
          <w:spacing w:val="-3"/>
          <w:sz w:val="27"/>
          <w:szCs w:val="27"/>
          <w:lang w:val="es-ES"/>
        </w:rPr>
        <w:t>y</w:t>
      </w:r>
      <w:r w:rsidRPr="00D06CB8">
        <w:rPr>
          <w:rFonts w:ascii="Bookman Old Style" w:hAnsi="Bookman Old Style"/>
          <w:smallCaps/>
          <w:color w:val="000000"/>
          <w:spacing w:val="-3"/>
          <w:sz w:val="27"/>
          <w:szCs w:val="27"/>
          <w:lang w:val="es-ES"/>
        </w:rPr>
        <w:t xml:space="preserve"> Édgar Triana</w:t>
      </w:r>
      <w:r w:rsidRPr="00D06CB8">
        <w:rPr>
          <w:rFonts w:ascii="Bookman Old Style" w:hAnsi="Bookman Old Style"/>
          <w:b/>
          <w:bCs/>
          <w:smallCaps/>
          <w:color w:val="000000"/>
          <w:spacing w:val="-3"/>
          <w:sz w:val="27"/>
          <w:szCs w:val="27"/>
          <w:lang w:val="es-ES"/>
        </w:rPr>
        <w:t xml:space="preserve"> </w:t>
      </w:r>
      <w:r w:rsidRPr="00D06CB8">
        <w:rPr>
          <w:rFonts w:ascii="Bookman Old Style" w:hAnsi="Bookman Old Style"/>
          <w:spacing w:val="-4"/>
          <w:sz w:val="27"/>
          <w:szCs w:val="27"/>
          <w:lang w:val="es-ES"/>
        </w:rPr>
        <w:t>como coautores del delito de invasión de tierras y edificaciones (art. 263.3 Código penal).</w:t>
      </w:r>
    </w:p>
    <w:p w14:paraId="208C6301" w14:textId="77777777" w:rsidR="00520EBC" w:rsidRPr="00D06CB8" w:rsidRDefault="00520EBC" w:rsidP="0056217D">
      <w:pPr>
        <w:pStyle w:val="Textoindependiente21"/>
        <w:rPr>
          <w:rFonts w:ascii="Bookman Old Style" w:hAnsi="Bookman Old Style" w:cs="Arial"/>
          <w:bCs/>
          <w:spacing w:val="-3"/>
          <w:sz w:val="27"/>
          <w:szCs w:val="27"/>
        </w:rPr>
      </w:pPr>
    </w:p>
    <w:p w14:paraId="3A1A6138" w14:textId="650A9816" w:rsidR="00E65D80" w:rsidRPr="00D06CB8" w:rsidRDefault="00E346B5" w:rsidP="00E65D80">
      <w:pPr>
        <w:spacing w:after="0" w:line="360" w:lineRule="auto"/>
        <w:ind w:firstLine="567"/>
        <w:jc w:val="both"/>
        <w:rPr>
          <w:rFonts w:ascii="Bookman Old Style" w:hAnsi="Bookman Old Style" w:cs="Arial"/>
          <w:bCs/>
          <w:spacing w:val="-3"/>
          <w:sz w:val="27"/>
          <w:szCs w:val="27"/>
          <w:lang w:val="es-CO" w:eastAsia="es-ES"/>
        </w:rPr>
      </w:pPr>
      <w:r w:rsidRPr="00D06CB8">
        <w:rPr>
          <w:rFonts w:ascii="Bookman Old Style" w:hAnsi="Bookman Old Style" w:cs="Arial"/>
          <w:b/>
          <w:bCs/>
          <w:spacing w:val="-3"/>
          <w:sz w:val="27"/>
          <w:szCs w:val="27"/>
          <w:lang w:eastAsia="es-ES"/>
        </w:rPr>
        <w:t>Segundo</w:t>
      </w:r>
      <w:r w:rsidRPr="00D06CB8">
        <w:rPr>
          <w:rFonts w:ascii="Bookman Old Style" w:hAnsi="Bookman Old Style" w:cs="Arial"/>
          <w:spacing w:val="-3"/>
          <w:sz w:val="27"/>
          <w:szCs w:val="27"/>
          <w:lang w:eastAsia="es-ES"/>
        </w:rPr>
        <w:t>.</w:t>
      </w:r>
      <w:r w:rsidR="00E65D80" w:rsidRPr="00D06CB8">
        <w:rPr>
          <w:sz w:val="27"/>
          <w:szCs w:val="27"/>
        </w:rPr>
        <w:t xml:space="preserve"> </w:t>
      </w:r>
      <w:r w:rsidR="00E65D80" w:rsidRPr="00D06CB8">
        <w:rPr>
          <w:rFonts w:ascii="Bookman Old Style" w:hAnsi="Bookman Old Style" w:cs="Arial"/>
          <w:b/>
          <w:spacing w:val="-3"/>
          <w:sz w:val="27"/>
          <w:szCs w:val="27"/>
          <w:lang w:eastAsia="es-ES"/>
        </w:rPr>
        <w:t>Adoptar</w:t>
      </w:r>
      <w:r w:rsidR="00E65D80" w:rsidRPr="00D06CB8">
        <w:rPr>
          <w:rFonts w:ascii="Bookman Old Style" w:hAnsi="Bookman Old Style" w:cs="Arial"/>
          <w:bCs/>
          <w:spacing w:val="-3"/>
          <w:sz w:val="27"/>
          <w:szCs w:val="27"/>
          <w:lang w:eastAsia="es-ES"/>
        </w:rPr>
        <w:t xml:space="preserve"> las medidas de restablecimiento del derecho en los términos expuestos en esta providencia. En consecuencia, ordena a la Secretaría de la Sala comunicar de inmediato esta decisión al Juzgado Primero Promiscuo Municipal de Purificación para que ejecute las órdenes impartidas dentro del plazo fijado por la Corte.</w:t>
      </w:r>
    </w:p>
    <w:p w14:paraId="60403243" w14:textId="77777777" w:rsidR="00E65D80" w:rsidRPr="00D06CB8" w:rsidRDefault="00E65D80" w:rsidP="00E65D80">
      <w:pPr>
        <w:spacing w:after="0" w:line="360" w:lineRule="auto"/>
        <w:jc w:val="both"/>
        <w:rPr>
          <w:rFonts w:ascii="Bookman Old Style" w:hAnsi="Bookman Old Style" w:cs="Arial"/>
          <w:spacing w:val="-3"/>
          <w:sz w:val="27"/>
          <w:szCs w:val="27"/>
          <w:lang w:val="es-CO" w:eastAsia="es-ES"/>
        </w:rPr>
      </w:pPr>
    </w:p>
    <w:p w14:paraId="44BED3C3" w14:textId="3275DB23" w:rsidR="00520EBC" w:rsidRPr="00D06CB8" w:rsidRDefault="00E65D80" w:rsidP="0056217D">
      <w:pPr>
        <w:spacing w:after="0" w:line="360" w:lineRule="auto"/>
        <w:ind w:firstLine="567"/>
        <w:jc w:val="both"/>
        <w:rPr>
          <w:rFonts w:ascii="Bookman Old Style" w:hAnsi="Bookman Old Style" w:cs="Arial"/>
          <w:spacing w:val="-3"/>
          <w:sz w:val="27"/>
          <w:szCs w:val="27"/>
          <w:lang w:eastAsia="es-ES"/>
        </w:rPr>
      </w:pPr>
      <w:r w:rsidRPr="00D06CB8">
        <w:rPr>
          <w:rFonts w:ascii="Bookman Old Style" w:hAnsi="Bookman Old Style" w:cs="Arial"/>
          <w:b/>
          <w:bCs/>
          <w:spacing w:val="-3"/>
          <w:sz w:val="27"/>
          <w:szCs w:val="27"/>
          <w:lang w:eastAsia="es-ES"/>
        </w:rPr>
        <w:t>Tercero</w:t>
      </w:r>
      <w:r w:rsidRPr="00D06CB8">
        <w:rPr>
          <w:rFonts w:ascii="Bookman Old Style" w:hAnsi="Bookman Old Style" w:cs="Arial"/>
          <w:spacing w:val="-3"/>
          <w:sz w:val="27"/>
          <w:szCs w:val="27"/>
          <w:lang w:eastAsia="es-ES"/>
        </w:rPr>
        <w:t xml:space="preserve">. </w:t>
      </w:r>
      <w:r w:rsidR="00520EBC" w:rsidRPr="00D06CB8">
        <w:rPr>
          <w:rFonts w:ascii="Bookman Old Style" w:hAnsi="Bookman Old Style" w:cs="Arial"/>
          <w:spacing w:val="-3"/>
          <w:sz w:val="27"/>
          <w:szCs w:val="27"/>
          <w:lang w:eastAsia="es-ES"/>
        </w:rPr>
        <w:t>Contra esta decisión no proceden recursos.</w:t>
      </w:r>
    </w:p>
    <w:p w14:paraId="7FF8626A" w14:textId="77777777" w:rsidR="00520EBC" w:rsidRPr="00D06CB8" w:rsidRDefault="00520EBC" w:rsidP="0056217D">
      <w:pPr>
        <w:spacing w:after="0" w:line="360" w:lineRule="auto"/>
        <w:jc w:val="both"/>
        <w:rPr>
          <w:rFonts w:ascii="Bookman Old Style" w:hAnsi="Bookman Old Style" w:cs="Arial"/>
          <w:spacing w:val="-3"/>
          <w:sz w:val="27"/>
          <w:szCs w:val="27"/>
          <w:lang w:eastAsia="es-ES"/>
        </w:rPr>
      </w:pPr>
    </w:p>
    <w:p w14:paraId="76E47FB4" w14:textId="77777777" w:rsidR="00520EBC" w:rsidRPr="00D06CB8" w:rsidRDefault="00520EBC" w:rsidP="0056217D">
      <w:pPr>
        <w:pStyle w:val="Sangradetextonormal"/>
        <w:spacing w:after="0" w:line="360" w:lineRule="auto"/>
        <w:ind w:left="0" w:firstLine="567"/>
        <w:jc w:val="center"/>
        <w:rPr>
          <w:rFonts w:ascii="Bookman Old Style" w:hAnsi="Bookman Old Style" w:cs="Arial"/>
          <w:b/>
          <w:sz w:val="27"/>
          <w:szCs w:val="27"/>
        </w:rPr>
      </w:pPr>
      <w:r w:rsidRPr="00D06CB8">
        <w:rPr>
          <w:rFonts w:ascii="Bookman Old Style" w:hAnsi="Bookman Old Style" w:cs="Arial"/>
          <w:b/>
          <w:sz w:val="27"/>
          <w:szCs w:val="27"/>
        </w:rPr>
        <w:t>Notifíquese y Cúmplase.</w:t>
      </w:r>
    </w:p>
    <w:sectPr w:rsidR="00520EBC" w:rsidRPr="00D06CB8" w:rsidSect="00533ED8">
      <w:headerReference w:type="even" r:id="rId8"/>
      <w:headerReference w:type="default" r:id="rId9"/>
      <w:footerReference w:type="even" r:id="rId10"/>
      <w:footerReference w:type="default" r:id="rId11"/>
      <w:headerReference w:type="first" r:id="rId12"/>
      <w:footerReference w:type="first" r:id="rId13"/>
      <w:pgSz w:w="12240" w:h="18720" w:code="14"/>
      <w:pgMar w:top="2268" w:right="1701" w:bottom="1701" w:left="2268"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23C6" w14:textId="77777777" w:rsidR="009E7051" w:rsidRDefault="009E7051" w:rsidP="009236CA">
      <w:pPr>
        <w:spacing w:after="0" w:line="240" w:lineRule="auto"/>
      </w:pPr>
      <w:r>
        <w:separator/>
      </w:r>
    </w:p>
  </w:endnote>
  <w:endnote w:type="continuationSeparator" w:id="0">
    <w:p w14:paraId="1D9086CA" w14:textId="77777777" w:rsidR="009E7051" w:rsidRDefault="009E7051" w:rsidP="0092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343EA" w14:textId="77777777" w:rsidR="007137D3" w:rsidRDefault="007137D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rPr>
      <w:id w:val="-1136869670"/>
      <w:docPartObj>
        <w:docPartGallery w:val="Page Numbers (Bottom of Page)"/>
        <w:docPartUnique/>
      </w:docPartObj>
    </w:sdtPr>
    <w:sdtContent>
      <w:p w14:paraId="0ADB5424" w14:textId="77777777" w:rsidR="009236CA" w:rsidRPr="00AF1DD7" w:rsidRDefault="009236CA" w:rsidP="00AF1DD7">
        <w:pPr>
          <w:pStyle w:val="Piedepgina"/>
          <w:jc w:val="center"/>
          <w:rPr>
            <w:rFonts w:ascii="Bookman Old Style" w:hAnsi="Bookman Old Style"/>
          </w:rPr>
        </w:pPr>
        <w:r w:rsidRPr="00AF1DD7">
          <w:rPr>
            <w:rFonts w:ascii="Bookman Old Style" w:hAnsi="Bookman Old Style"/>
          </w:rPr>
          <w:fldChar w:fldCharType="begin"/>
        </w:r>
        <w:r w:rsidRPr="00AF1DD7">
          <w:rPr>
            <w:rFonts w:ascii="Bookman Old Style" w:hAnsi="Bookman Old Style"/>
          </w:rPr>
          <w:instrText>PAGE   \* MERGEFORMAT</w:instrText>
        </w:r>
        <w:r w:rsidRPr="00AF1DD7">
          <w:rPr>
            <w:rFonts w:ascii="Bookman Old Style" w:hAnsi="Bookman Old Style"/>
          </w:rPr>
          <w:fldChar w:fldCharType="separate"/>
        </w:r>
        <w:r w:rsidRPr="00AF1DD7">
          <w:rPr>
            <w:rFonts w:ascii="Bookman Old Style" w:hAnsi="Bookman Old Style"/>
            <w:noProof/>
          </w:rPr>
          <w:t>3</w:t>
        </w:r>
        <w:r w:rsidRPr="00AF1DD7">
          <w:rPr>
            <w:rFonts w:ascii="Bookman Old Style" w:hAnsi="Bookman Old Style"/>
          </w:rPr>
          <w:fldChar w:fldCharType="end"/>
        </w:r>
      </w:p>
    </w:sdtContent>
  </w:sdt>
  <w:p w14:paraId="1B379178" w14:textId="77777777" w:rsidR="009236CA" w:rsidRPr="00AF1DD7" w:rsidRDefault="009236CA" w:rsidP="00AF1DD7">
    <w:pPr>
      <w:pStyle w:val="Piedepgina"/>
      <w:jc w:val="center"/>
      <w:rPr>
        <w:rFonts w:ascii="Bookman Old Style" w:hAnsi="Bookman Old 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009236CA" w14:paraId="5EBFDE70" w14:textId="77777777" w:rsidTr="002F0150">
      <w:trPr>
        <w:trHeight w:val="300"/>
      </w:trPr>
      <w:tc>
        <w:tcPr>
          <w:tcW w:w="2945" w:type="dxa"/>
        </w:tcPr>
        <w:p w14:paraId="0C7BBE05" w14:textId="77777777" w:rsidR="009236CA" w:rsidRDefault="009236CA" w:rsidP="002F0150">
          <w:pPr>
            <w:pStyle w:val="Encabezado"/>
            <w:ind w:left="-115"/>
          </w:pPr>
        </w:p>
      </w:tc>
      <w:tc>
        <w:tcPr>
          <w:tcW w:w="2945" w:type="dxa"/>
        </w:tcPr>
        <w:p w14:paraId="02357E51" w14:textId="77777777" w:rsidR="009236CA" w:rsidRDefault="009236CA" w:rsidP="002F0150">
          <w:pPr>
            <w:pStyle w:val="Encabezado"/>
            <w:jc w:val="center"/>
          </w:pPr>
        </w:p>
      </w:tc>
      <w:tc>
        <w:tcPr>
          <w:tcW w:w="2945" w:type="dxa"/>
        </w:tcPr>
        <w:p w14:paraId="593B9B40" w14:textId="77777777" w:rsidR="009236CA" w:rsidRDefault="009236CA" w:rsidP="002F0150">
          <w:pPr>
            <w:pStyle w:val="Encabezado"/>
            <w:ind w:right="-115"/>
            <w:jc w:val="right"/>
          </w:pPr>
        </w:p>
      </w:tc>
    </w:tr>
  </w:tbl>
  <w:p w14:paraId="01C546A8" w14:textId="77777777" w:rsidR="009236CA" w:rsidRDefault="009236CA" w:rsidP="002F01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EB5C" w14:textId="77777777" w:rsidR="009E7051" w:rsidRDefault="009E7051" w:rsidP="009236CA">
      <w:pPr>
        <w:spacing w:after="0" w:line="240" w:lineRule="auto"/>
      </w:pPr>
      <w:r>
        <w:separator/>
      </w:r>
    </w:p>
  </w:footnote>
  <w:footnote w:type="continuationSeparator" w:id="0">
    <w:p w14:paraId="50C192E8" w14:textId="77777777" w:rsidR="009E7051" w:rsidRDefault="009E7051" w:rsidP="009236CA">
      <w:pPr>
        <w:spacing w:after="0" w:line="240" w:lineRule="auto"/>
      </w:pPr>
      <w:r>
        <w:continuationSeparator/>
      </w:r>
    </w:p>
  </w:footnote>
  <w:footnote w:id="1">
    <w:p w14:paraId="6472EC33" w14:textId="0269204B" w:rsidR="00950CD3" w:rsidRPr="00E65D80" w:rsidRDefault="00950CD3"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Según el diccionario de la lengua española de la Real Academia Española, “cota” es la altura o nivel en una escala, o el número que en los planos topográficos indica la altura de un punto sobre un plano de nivel.</w:t>
      </w:r>
    </w:p>
  </w:footnote>
  <w:footnote w:id="2">
    <w:p w14:paraId="6DAC3F26" w14:textId="13134ECE" w:rsidR="005B62C8" w:rsidRPr="00E65D80" w:rsidRDefault="005B62C8"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Introdujo un informe de investigador de campo FPJ-11 del 31 de enero de 2018.</w:t>
      </w:r>
    </w:p>
  </w:footnote>
  <w:footnote w:id="3">
    <w:p w14:paraId="02F6605B" w14:textId="72FA68A6" w:rsidR="005B62C8" w:rsidRPr="00E65D80" w:rsidRDefault="005B62C8"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Introdujo el dictamen pericial del 2 de noviembre de 2016, con el objeto de precisar linderos, tradición y colindancia con EPSA.</w:t>
      </w:r>
    </w:p>
  </w:footnote>
  <w:footnote w:id="4">
    <w:p w14:paraId="1B311933" w14:textId="55BC9872" w:rsidR="005B62C8" w:rsidRPr="00E65D80" w:rsidRDefault="005B62C8"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Introdujo un video con dron del 19 de julio de 2018 y un conjunto amplio de documentos.</w:t>
      </w:r>
    </w:p>
  </w:footnote>
  <w:footnote w:id="5">
    <w:p w14:paraId="386FB03B" w14:textId="3F313D0F" w:rsidR="005B62C8" w:rsidRPr="00E65D80" w:rsidRDefault="005B62C8"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Pr="00E65D80">
        <w:rPr>
          <w:rFonts w:ascii="Bookman Old Style" w:hAnsi="Bookman Old Style"/>
          <w:color w:val="000000"/>
          <w:spacing w:val="-3"/>
          <w:sz w:val="18"/>
          <w:szCs w:val="18"/>
        </w:rPr>
        <w:t>Sostuvo que los terrenos explotados por los acusados correspondían al embalse de Hidroprado y que los procesados los trabajaban desde tiempo atrás.</w:t>
      </w:r>
    </w:p>
  </w:footnote>
  <w:footnote w:id="6">
    <w:p w14:paraId="71B2C919" w14:textId="67C452A3" w:rsidR="00BB186D" w:rsidRPr="00E65D80" w:rsidRDefault="00BB186D"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Pr="00E65D80">
        <w:rPr>
          <w:rFonts w:ascii="Bookman Old Style" w:hAnsi="Bookman Old Style"/>
          <w:color w:val="000000"/>
          <w:spacing w:val="-3"/>
          <w:sz w:val="18"/>
          <w:szCs w:val="18"/>
        </w:rPr>
        <w:t>Apoyó la tesis según la cual los terrenos ocupados por los acusados pertenecían a EPSA y no a la denunciante.</w:t>
      </w:r>
    </w:p>
  </w:footnote>
  <w:footnote w:id="7">
    <w:p w14:paraId="54CCEFC8" w14:textId="616B2DAE" w:rsidR="00BB186D" w:rsidRPr="00E65D80" w:rsidRDefault="00BB186D"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Pr="00E65D80">
        <w:rPr>
          <w:rFonts w:ascii="Bookman Old Style" w:hAnsi="Bookman Old Style"/>
          <w:color w:val="000000"/>
          <w:spacing w:val="-3"/>
          <w:sz w:val="18"/>
          <w:szCs w:val="18"/>
        </w:rPr>
        <w:t>Sostuvo que los terrenos en disputa pertenecían a EPSA y no a Montiel Morales.</w:t>
      </w:r>
    </w:p>
  </w:footnote>
  <w:footnote w:id="8">
    <w:p w14:paraId="6641176F" w14:textId="4DBD1A71" w:rsidR="00005EF9" w:rsidRPr="00E65D80" w:rsidRDefault="00005EF9" w:rsidP="00E65D80">
      <w:pPr>
        <w:pStyle w:val="Textoindependiente"/>
        <w:spacing w:after="0" w:line="360" w:lineRule="auto"/>
        <w:jc w:val="both"/>
        <w:rPr>
          <w:rFonts w:ascii="Bookman Old Style" w:hAnsi="Bookman Old Style"/>
          <w:color w:val="000000"/>
          <w:spacing w:val="-4"/>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Pr="00E65D80">
        <w:rPr>
          <w:rFonts w:ascii="Bookman Old Style" w:hAnsi="Bookman Old Style"/>
          <w:color w:val="000000"/>
          <w:spacing w:val="-4"/>
          <w:sz w:val="18"/>
          <w:szCs w:val="18"/>
        </w:rPr>
        <w:t xml:space="preserve">El </w:t>
      </w:r>
      <w:r w:rsidR="00737F95" w:rsidRPr="00E65D80">
        <w:rPr>
          <w:rFonts w:ascii="Bookman Old Style" w:hAnsi="Bookman Old Style"/>
          <w:color w:val="000000"/>
          <w:spacing w:val="-4"/>
          <w:sz w:val="18"/>
          <w:szCs w:val="18"/>
        </w:rPr>
        <w:t>2</w:t>
      </w:r>
      <w:r w:rsidRPr="00E65D80">
        <w:rPr>
          <w:rFonts w:ascii="Bookman Old Style" w:hAnsi="Bookman Old Style"/>
          <w:color w:val="000000"/>
          <w:spacing w:val="-4"/>
          <w:sz w:val="18"/>
          <w:szCs w:val="18"/>
        </w:rPr>
        <w:t xml:space="preserve"> de </w:t>
      </w:r>
      <w:r w:rsidR="00737F95" w:rsidRPr="00E65D80">
        <w:rPr>
          <w:rFonts w:ascii="Bookman Old Style" w:hAnsi="Bookman Old Style"/>
          <w:color w:val="000000"/>
          <w:spacing w:val="-4"/>
          <w:sz w:val="18"/>
          <w:szCs w:val="18"/>
        </w:rPr>
        <w:t>mayo</w:t>
      </w:r>
      <w:r w:rsidRPr="00E65D80">
        <w:rPr>
          <w:rFonts w:ascii="Bookman Old Style" w:hAnsi="Bookman Old Style"/>
          <w:color w:val="000000"/>
          <w:spacing w:val="-4"/>
          <w:sz w:val="18"/>
          <w:szCs w:val="18"/>
        </w:rPr>
        <w:t xml:space="preserve"> de 202</w:t>
      </w:r>
      <w:r w:rsidR="00737F95" w:rsidRPr="00E65D80">
        <w:rPr>
          <w:rFonts w:ascii="Bookman Old Style" w:hAnsi="Bookman Old Style"/>
          <w:color w:val="000000"/>
          <w:spacing w:val="-4"/>
          <w:sz w:val="18"/>
          <w:szCs w:val="18"/>
        </w:rPr>
        <w:t>2</w:t>
      </w:r>
      <w:r w:rsidRPr="00E65D80">
        <w:rPr>
          <w:rFonts w:ascii="Bookman Old Style" w:hAnsi="Bookman Old Style"/>
          <w:color w:val="000000"/>
          <w:spacing w:val="-4"/>
          <w:sz w:val="18"/>
          <w:szCs w:val="18"/>
        </w:rPr>
        <w:t>, el Tribunal realizó la audiencia de lectura de decisión.</w:t>
      </w:r>
    </w:p>
    <w:p w14:paraId="5802E8E4" w14:textId="6A2CED7D" w:rsidR="00005EF9" w:rsidRPr="00E65D80" w:rsidRDefault="00005EF9" w:rsidP="00E65D80">
      <w:pPr>
        <w:pStyle w:val="Textonotapie"/>
        <w:jc w:val="both"/>
        <w:rPr>
          <w:rFonts w:ascii="Bookman Old Style" w:hAnsi="Bookman Old Style"/>
          <w:sz w:val="18"/>
          <w:szCs w:val="18"/>
          <w:lang w:val="es-ES"/>
        </w:rPr>
      </w:pPr>
    </w:p>
  </w:footnote>
  <w:footnote w:id="9">
    <w:p w14:paraId="0CA8BCFB" w14:textId="14FFA251" w:rsidR="00520EBC" w:rsidRPr="00E65D80" w:rsidRDefault="00520EBC"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Dado que los procesados tuvieron a su disposición, en todo momento, una defensa </w:t>
      </w:r>
      <w:r w:rsidRPr="00E65D80">
        <w:rPr>
          <w:rFonts w:ascii="Bookman Old Style" w:eastAsia="Bookman Old Style" w:hAnsi="Bookman Old Style"/>
          <w:sz w:val="18"/>
          <w:szCs w:val="18"/>
          <w:lang w:val="es-CO"/>
        </w:rPr>
        <w:t xml:space="preserve">de confianza, y </w:t>
      </w:r>
      <w:r w:rsidR="00977B5E" w:rsidRPr="00E65D80">
        <w:rPr>
          <w:rFonts w:ascii="Bookman Old Style" w:eastAsia="Bookman Old Style" w:hAnsi="Bookman Old Style"/>
          <w:sz w:val="18"/>
          <w:szCs w:val="18"/>
          <w:lang w:val="es-CO"/>
        </w:rPr>
        <w:t xml:space="preserve">por medio </w:t>
      </w:r>
      <w:r w:rsidRPr="00E65D80">
        <w:rPr>
          <w:rFonts w:ascii="Bookman Old Style" w:eastAsia="Bookman Old Style" w:hAnsi="Bookman Old Style"/>
          <w:sz w:val="18"/>
          <w:szCs w:val="18"/>
          <w:lang w:val="es-CO"/>
        </w:rPr>
        <w:t>de ella solicitaron pruebas, controvirtieron las aducidas en su contra, interpusieron los recursos disponibles y expusieron los argumentos de oposición que consider</w:t>
      </w:r>
      <w:r w:rsidR="0056217D" w:rsidRPr="00E65D80">
        <w:rPr>
          <w:rFonts w:ascii="Bookman Old Style" w:eastAsia="Bookman Old Style" w:hAnsi="Bookman Old Style"/>
          <w:sz w:val="18"/>
          <w:szCs w:val="18"/>
          <w:lang w:val="es-CO"/>
        </w:rPr>
        <w:t xml:space="preserve">aron </w:t>
      </w:r>
      <w:r w:rsidRPr="00E65D80">
        <w:rPr>
          <w:rFonts w:ascii="Bookman Old Style" w:eastAsia="Bookman Old Style" w:hAnsi="Bookman Old Style"/>
          <w:sz w:val="18"/>
          <w:szCs w:val="18"/>
          <w:lang w:val="es-CO"/>
        </w:rPr>
        <w:t>pertinentes.</w:t>
      </w:r>
    </w:p>
  </w:footnote>
  <w:footnote w:id="10">
    <w:p w14:paraId="527FBEC7" w14:textId="3CAB13E4" w:rsidR="00F17E7A" w:rsidRPr="00E65D80" w:rsidRDefault="00F17E7A" w:rsidP="00E65D80">
      <w:pPr>
        <w:pStyle w:val="Textonotapie"/>
        <w:jc w:val="both"/>
        <w:rPr>
          <w:rFonts w:ascii="Bookman Old Style" w:hAnsi="Bookman Old Style"/>
          <w:b/>
          <w:bCs/>
          <w:sz w:val="18"/>
          <w:szCs w:val="18"/>
          <w:lang w:val="de-DE"/>
        </w:rPr>
      </w:pPr>
      <w:r w:rsidRPr="00E65D80">
        <w:rPr>
          <w:rStyle w:val="Refdenotaalpie"/>
          <w:rFonts w:ascii="Bookman Old Style" w:eastAsiaTheme="majorEastAsia" w:hAnsi="Bookman Old Style"/>
          <w:sz w:val="18"/>
          <w:szCs w:val="18"/>
        </w:rPr>
        <w:footnoteRef/>
      </w:r>
      <w:r w:rsidRPr="00E65D80">
        <w:rPr>
          <w:rFonts w:ascii="Bookman Old Style" w:hAnsi="Bookman Old Style"/>
          <w:sz w:val="18"/>
          <w:szCs w:val="18"/>
        </w:rPr>
        <w:t xml:space="preserve"> En virtud del “principio de caridad”, a la luz de la jurisprudencia de la Corte, se requiere que el intérpret</w:t>
      </w:r>
      <w:r w:rsidR="00133091" w:rsidRPr="00E65D80">
        <w:rPr>
          <w:rFonts w:ascii="Bookman Old Style" w:hAnsi="Bookman Old Style"/>
          <w:sz w:val="18"/>
          <w:szCs w:val="18"/>
        </w:rPr>
        <w:t xml:space="preserve">e </w:t>
      </w:r>
      <w:r w:rsidRPr="00E65D80">
        <w:rPr>
          <w:rFonts w:ascii="Bookman Old Style" w:hAnsi="Bookman Old Style"/>
          <w:sz w:val="18"/>
          <w:szCs w:val="18"/>
        </w:rPr>
        <w:t xml:space="preserve">hace las veces de receptor del mensaje común, bajo una compresión y comunicación lingüística, debe encausarse en poder desentrañar las afirmaciones correctas, en aras de un eficaz desarrollo de la comunicación establecida, dando cuenta de cada posición jurídica desde la postura más coherente y racional posible. En efecto, se trata de una forma de subsanar los yerros que pudiere tener una sustentación, en virtud de dilucidar el sentido del recurso, ejerciendo así una debida efectividad al derecho material. </w:t>
      </w:r>
      <w:r w:rsidRPr="00E65D80">
        <w:rPr>
          <w:rFonts w:ascii="Bookman Old Style" w:hAnsi="Bookman Old Style"/>
          <w:i/>
          <w:iCs/>
          <w:sz w:val="18"/>
          <w:szCs w:val="18"/>
        </w:rPr>
        <w:t>Cfr</w:t>
      </w:r>
      <w:r w:rsidRPr="00E65D80">
        <w:rPr>
          <w:rFonts w:ascii="Bookman Old Style" w:hAnsi="Bookman Old Style"/>
          <w:sz w:val="18"/>
          <w:szCs w:val="18"/>
        </w:rPr>
        <w:t>. CSJ-AP4242-2018, sep. 26, Rad. 52.008. AP982-2025, 19 feb. Rad.58.151.</w:t>
      </w:r>
      <w:r w:rsidRPr="00E65D80">
        <w:rPr>
          <w:rFonts w:ascii="Bookman Old Style" w:hAnsi="Bookman Old Style" w:cs="Times New Roman"/>
          <w:color w:val="000000"/>
          <w:sz w:val="18"/>
          <w:szCs w:val="18"/>
          <w:shd w:val="clear" w:color="auto" w:fill="FFFFFF"/>
        </w:rPr>
        <w:t xml:space="preserve"> </w:t>
      </w:r>
      <w:r w:rsidRPr="00E65D80">
        <w:rPr>
          <w:rFonts w:ascii="Bookman Old Style" w:hAnsi="Bookman Old Style"/>
          <w:sz w:val="18"/>
          <w:szCs w:val="18"/>
        </w:rPr>
        <w:t xml:space="preserve">SP1276-2025, 30 abr. </w:t>
      </w:r>
      <w:r w:rsidRPr="00E65D80">
        <w:rPr>
          <w:rFonts w:ascii="Bookman Old Style" w:hAnsi="Bookman Old Style"/>
          <w:sz w:val="18"/>
          <w:szCs w:val="18"/>
          <w:lang w:val="de-DE"/>
        </w:rPr>
        <w:t>Rad. 68.62;</w:t>
      </w:r>
      <w:r w:rsidRPr="00E65D80">
        <w:rPr>
          <w:rFonts w:ascii="Bookman Old Style" w:hAnsi="Bookman Old Style" w:cs="Times New Roman"/>
          <w:color w:val="000000"/>
          <w:sz w:val="18"/>
          <w:szCs w:val="18"/>
          <w:shd w:val="clear" w:color="auto" w:fill="FFFFFF"/>
          <w:lang w:val="de-DE"/>
        </w:rPr>
        <w:t xml:space="preserve"> </w:t>
      </w:r>
      <w:r w:rsidRPr="00E65D80">
        <w:rPr>
          <w:rFonts w:ascii="Bookman Old Style" w:hAnsi="Bookman Old Style"/>
          <w:sz w:val="18"/>
          <w:szCs w:val="18"/>
          <w:lang w:val="de-DE"/>
        </w:rPr>
        <w:t>AP3737-2025, 13 jun. Rad. 68.884.</w:t>
      </w:r>
    </w:p>
  </w:footnote>
  <w:footnote w:id="11">
    <w:p w14:paraId="3087F177" w14:textId="77777777" w:rsidR="00520EBC" w:rsidRPr="00E65D80" w:rsidRDefault="00520EBC" w:rsidP="00E65D80">
      <w:pPr>
        <w:pStyle w:val="Textonotapie"/>
        <w:jc w:val="both"/>
        <w:rPr>
          <w:rFonts w:ascii="Bookman Old Style" w:hAnsi="Bookman Old Style"/>
          <w:sz w:val="18"/>
          <w:szCs w:val="18"/>
          <w:lang w:val="es-ES"/>
        </w:rPr>
      </w:pPr>
      <w:r w:rsidRPr="00E65D80">
        <w:rPr>
          <w:rStyle w:val="Refdenotaalpie"/>
          <w:rFonts w:ascii="Bookman Old Style" w:hAnsi="Bookman Old Style"/>
          <w:sz w:val="18"/>
          <w:szCs w:val="18"/>
        </w:rPr>
        <w:footnoteRef/>
      </w:r>
      <w:r w:rsidRPr="00E65D80">
        <w:rPr>
          <w:rFonts w:ascii="Bookman Old Style" w:hAnsi="Bookman Old Style"/>
          <w:sz w:val="18"/>
          <w:szCs w:val="18"/>
          <w:lang w:val="de-DE"/>
        </w:rPr>
        <w:t xml:space="preserve"> </w:t>
      </w:r>
      <w:r w:rsidRPr="00E65D80">
        <w:rPr>
          <w:rFonts w:ascii="Bookman Old Style" w:hAnsi="Bookman Old Style"/>
          <w:i/>
          <w:iCs/>
          <w:sz w:val="18"/>
          <w:szCs w:val="18"/>
          <w:lang w:val="de-DE"/>
        </w:rPr>
        <w:t>Cfr</w:t>
      </w:r>
      <w:r w:rsidRPr="00E65D80">
        <w:rPr>
          <w:rFonts w:ascii="Bookman Old Style" w:hAnsi="Bookman Old Style"/>
          <w:sz w:val="18"/>
          <w:szCs w:val="18"/>
          <w:lang w:val="de-DE"/>
        </w:rPr>
        <w:t xml:space="preserve">. CSJ-SP, 18 dic. 2013, Rad. 34.766; SP2199-2024, 14 agt. </w:t>
      </w:r>
      <w:r w:rsidRPr="00E65D80">
        <w:rPr>
          <w:rFonts w:ascii="Bookman Old Style" w:hAnsi="Bookman Old Style"/>
          <w:sz w:val="18"/>
          <w:szCs w:val="18"/>
          <w:lang w:val="es-CO"/>
        </w:rPr>
        <w:t xml:space="preserve">Rad. 59.674 y </w:t>
      </w:r>
      <w:r w:rsidRPr="00E65D80">
        <w:rPr>
          <w:rFonts w:ascii="Bookman Old Style" w:hAnsi="Bookman Old Style"/>
          <w:sz w:val="18"/>
          <w:szCs w:val="18"/>
          <w:lang w:val="es-ES"/>
        </w:rPr>
        <w:t>SP767-2025, 26 mar, Rad. 60.489.</w:t>
      </w:r>
    </w:p>
  </w:footnote>
  <w:footnote w:id="12">
    <w:p w14:paraId="166CFE6B" w14:textId="1E206570" w:rsidR="00520EBC" w:rsidRPr="00E65D80" w:rsidRDefault="00520EBC" w:rsidP="00E65D80">
      <w:pPr>
        <w:pStyle w:val="Textonotapie"/>
        <w:jc w:val="both"/>
        <w:rPr>
          <w:rFonts w:ascii="Bookman Old Style" w:hAnsi="Bookman Old Style"/>
          <w:sz w:val="18"/>
          <w:szCs w:val="18"/>
          <w:lang w:val="es-CO"/>
        </w:rPr>
      </w:pPr>
      <w:r w:rsidRPr="00E65D80">
        <w:rPr>
          <w:rStyle w:val="Refdenotaalpie"/>
          <w:rFonts w:ascii="Bookman Old Style" w:hAnsi="Bookman Old Style"/>
          <w:sz w:val="18"/>
          <w:szCs w:val="18"/>
        </w:rPr>
        <w:footnoteRef/>
      </w:r>
      <w:r w:rsidRPr="00E65D80">
        <w:rPr>
          <w:rFonts w:ascii="Bookman Old Style" w:hAnsi="Bookman Old Style"/>
          <w:sz w:val="18"/>
          <w:szCs w:val="18"/>
          <w:lang w:val="de-DE"/>
        </w:rPr>
        <w:t xml:space="preserve"> </w:t>
      </w:r>
      <w:r w:rsidRPr="00E65D80">
        <w:rPr>
          <w:rFonts w:ascii="Bookman Old Style" w:hAnsi="Bookman Old Style"/>
          <w:i/>
          <w:iCs/>
          <w:sz w:val="18"/>
          <w:szCs w:val="18"/>
          <w:lang w:val="de-DE"/>
        </w:rPr>
        <w:t>Cfr</w:t>
      </w:r>
      <w:r w:rsidRPr="00E65D80">
        <w:rPr>
          <w:rFonts w:ascii="Bookman Old Style" w:hAnsi="Bookman Old Style"/>
          <w:sz w:val="18"/>
          <w:szCs w:val="18"/>
          <w:lang w:val="de-DE"/>
        </w:rPr>
        <w:t xml:space="preserve">. CSJ SP, 21 abr. 2010, Rad. 30.028; SP2693-2021, 30 jun. 2021, Rad. 54.692; SP2199-2024, 14 agt. </w:t>
      </w:r>
      <w:r w:rsidRPr="00E65D80">
        <w:rPr>
          <w:rFonts w:ascii="Bookman Old Style" w:hAnsi="Bookman Old Style"/>
          <w:sz w:val="18"/>
          <w:szCs w:val="18"/>
          <w:lang w:val="es-CO"/>
        </w:rPr>
        <w:t xml:space="preserve">Rad. 59.674 y </w:t>
      </w:r>
      <w:r w:rsidRPr="00E65D80">
        <w:rPr>
          <w:rFonts w:ascii="Bookman Old Style" w:hAnsi="Bookman Old Style"/>
          <w:sz w:val="18"/>
          <w:szCs w:val="18"/>
          <w:lang w:val="es-ES"/>
        </w:rPr>
        <w:t>SP767-2025, 26 mar, Rad. 60.489.</w:t>
      </w:r>
    </w:p>
  </w:footnote>
  <w:footnote w:id="13">
    <w:p w14:paraId="51808C94" w14:textId="27AE0477" w:rsidR="00520EBC" w:rsidRPr="00E65D80" w:rsidRDefault="00520EBC"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Pr="00E65D80">
        <w:rPr>
          <w:rFonts w:ascii="Bookman Old Style" w:hAnsi="Bookman Old Style"/>
          <w:i/>
          <w:iCs/>
          <w:sz w:val="18"/>
          <w:szCs w:val="18"/>
        </w:rPr>
        <w:t>Cfr</w:t>
      </w:r>
      <w:r w:rsidRPr="00E65D80">
        <w:rPr>
          <w:rFonts w:ascii="Bookman Old Style" w:hAnsi="Bookman Old Style"/>
          <w:sz w:val="18"/>
          <w:szCs w:val="18"/>
        </w:rPr>
        <w:t xml:space="preserve">. </w:t>
      </w:r>
      <w:r w:rsidRPr="00E65D80">
        <w:rPr>
          <w:rFonts w:ascii="Bookman Old Style" w:hAnsi="Bookman Old Style"/>
          <w:sz w:val="18"/>
          <w:szCs w:val="18"/>
          <w:lang w:val="es-ES"/>
        </w:rPr>
        <w:t>CC C-157 de 1997.</w:t>
      </w:r>
    </w:p>
  </w:footnote>
  <w:footnote w:id="14">
    <w:p w14:paraId="7B57E5A0" w14:textId="1C2661CE" w:rsidR="00520EBC" w:rsidRPr="00E65D80" w:rsidRDefault="00520EBC"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lang w:val="es-CO"/>
        </w:rPr>
        <w:t xml:space="preserve"> </w:t>
      </w:r>
      <w:r w:rsidRPr="00E65D80">
        <w:rPr>
          <w:rFonts w:ascii="Bookman Old Style" w:hAnsi="Bookman Old Style"/>
          <w:i/>
          <w:iCs/>
          <w:sz w:val="18"/>
          <w:szCs w:val="18"/>
          <w:lang w:val="es-CO"/>
        </w:rPr>
        <w:t>Cfr</w:t>
      </w:r>
      <w:r w:rsidRPr="00E65D80">
        <w:rPr>
          <w:rFonts w:ascii="Bookman Old Style" w:hAnsi="Bookman Old Style"/>
          <w:sz w:val="18"/>
          <w:szCs w:val="18"/>
          <w:lang w:val="es-CO"/>
        </w:rPr>
        <w:t xml:space="preserve">. CSJ-SP, 18 dic. 2013, Rad. 34.766; SP2199-2024, 14 agt. Rad. 59.674 y </w:t>
      </w:r>
      <w:r w:rsidRPr="00E65D80">
        <w:rPr>
          <w:rFonts w:ascii="Bookman Old Style" w:hAnsi="Bookman Old Style"/>
          <w:sz w:val="18"/>
          <w:szCs w:val="18"/>
          <w:lang w:val="es-ES"/>
        </w:rPr>
        <w:t>SP767-2025, 26 mar, Rad. 60.489.</w:t>
      </w:r>
    </w:p>
  </w:footnote>
  <w:footnote w:id="15">
    <w:p w14:paraId="09EB0C7C" w14:textId="10C4327A" w:rsidR="002540BE" w:rsidRPr="00E65D80" w:rsidRDefault="002540BE"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00AA14A7" w:rsidRPr="00E65D80">
        <w:rPr>
          <w:rFonts w:ascii="Bookman Old Style" w:hAnsi="Bookman Old Style"/>
          <w:sz w:val="18"/>
          <w:szCs w:val="18"/>
        </w:rPr>
        <w:t>El agravante</w:t>
      </w:r>
      <w:r w:rsidRPr="00E65D80">
        <w:rPr>
          <w:rFonts w:ascii="Bookman Old Style" w:hAnsi="Bookman Old Style"/>
          <w:sz w:val="18"/>
          <w:szCs w:val="18"/>
        </w:rPr>
        <w:t xml:space="preserve"> </w:t>
      </w:r>
      <w:r w:rsidR="00AA14A7" w:rsidRPr="00E65D80">
        <w:rPr>
          <w:rFonts w:ascii="Bookman Old Style" w:hAnsi="Bookman Old Style"/>
          <w:sz w:val="18"/>
          <w:szCs w:val="18"/>
        </w:rPr>
        <w:t xml:space="preserve">está justificado </w:t>
      </w:r>
      <w:r w:rsidRPr="00E65D80">
        <w:rPr>
          <w:rFonts w:ascii="Bookman Old Style" w:hAnsi="Bookman Old Style"/>
          <w:sz w:val="18"/>
          <w:szCs w:val="18"/>
        </w:rPr>
        <w:t xml:space="preserve">porque recae sobre un inmueble rural, esto es, sobre un bien que la Corte Constitucional ha reconocido como especialmente protegido por la Constitución, en atención a su relación con la propiedad agraria, el desarrollo rural y la producción alimentaria </w:t>
      </w:r>
      <w:r w:rsidRPr="00E65D80">
        <w:rPr>
          <w:rFonts w:ascii="Bookman Old Style" w:hAnsi="Bookman Old Style"/>
          <w:i/>
          <w:iCs/>
          <w:sz w:val="18"/>
          <w:szCs w:val="18"/>
        </w:rPr>
        <w:t>Cfr</w:t>
      </w:r>
      <w:r w:rsidRPr="00E65D80">
        <w:rPr>
          <w:rFonts w:ascii="Bookman Old Style" w:hAnsi="Bookman Old Style"/>
          <w:sz w:val="18"/>
          <w:szCs w:val="18"/>
        </w:rPr>
        <w:t>. CC-C-644 de 2012 y SU-213 de 2021.</w:t>
      </w:r>
    </w:p>
  </w:footnote>
  <w:footnote w:id="16">
    <w:p w14:paraId="0C68FDBB" w14:textId="2F00F7A8" w:rsidR="00225ED1" w:rsidRPr="00E65D80" w:rsidRDefault="00225ED1"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Pr="00E65D80">
        <w:rPr>
          <w:rFonts w:ascii="Bookman Old Style" w:hAnsi="Bookman Old Style"/>
          <w:i/>
          <w:iCs/>
          <w:sz w:val="18"/>
          <w:szCs w:val="18"/>
        </w:rPr>
        <w:t>Cfr</w:t>
      </w:r>
      <w:r w:rsidRPr="00E65D80">
        <w:rPr>
          <w:rFonts w:ascii="Bookman Old Style" w:hAnsi="Bookman Old Style"/>
          <w:sz w:val="18"/>
          <w:szCs w:val="18"/>
        </w:rPr>
        <w:t>. CSJ-SP, 25 ago. 2010, Rad. 32.964; AP554-2019, 20 feb. 2019. Rad. 50.077.</w:t>
      </w:r>
    </w:p>
  </w:footnote>
  <w:footnote w:id="17">
    <w:p w14:paraId="46271A26" w14:textId="14C8C2DA" w:rsidR="00225ED1" w:rsidRPr="00E65D80" w:rsidRDefault="00225ED1" w:rsidP="00E65D80">
      <w:pPr>
        <w:pStyle w:val="Textonotapie"/>
        <w:jc w:val="both"/>
        <w:rPr>
          <w:rFonts w:ascii="Bookman Old Style" w:hAnsi="Bookman Old Style"/>
          <w:sz w:val="18"/>
          <w:szCs w:val="18"/>
          <w:lang w:val="es-ES"/>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00145A97" w:rsidRPr="00E65D80">
        <w:rPr>
          <w:rFonts w:ascii="Bookman Old Style" w:hAnsi="Bookman Old Style"/>
          <w:sz w:val="18"/>
          <w:szCs w:val="18"/>
        </w:rPr>
        <w:t xml:space="preserve">Puede versar, por ejemplo, sobre la edad de la víctima, la ajenidad del bien, la calidad de documento, la condición de funcionario o la legalidad de un trámite contractual. </w:t>
      </w:r>
      <w:r w:rsidRPr="00E65D80">
        <w:rPr>
          <w:rFonts w:ascii="Bookman Old Style" w:hAnsi="Bookman Old Style"/>
          <w:i/>
          <w:iCs/>
          <w:sz w:val="18"/>
          <w:szCs w:val="18"/>
        </w:rPr>
        <w:t>Cfr</w:t>
      </w:r>
      <w:r w:rsidRPr="00E65D80">
        <w:rPr>
          <w:rFonts w:ascii="Bookman Old Style" w:hAnsi="Bookman Old Style"/>
          <w:sz w:val="18"/>
          <w:szCs w:val="18"/>
        </w:rPr>
        <w:t>. CSJ-AP1130-2017, 30 nov de 2017, Rad. 29.726; SP1783-2018, 23 may 2018, Rad. 46</w:t>
      </w:r>
      <w:r w:rsidR="00691736" w:rsidRPr="00E65D80">
        <w:rPr>
          <w:rFonts w:ascii="Bookman Old Style" w:hAnsi="Bookman Old Style"/>
          <w:sz w:val="18"/>
          <w:szCs w:val="18"/>
        </w:rPr>
        <w:t>.</w:t>
      </w:r>
      <w:r w:rsidRPr="00E65D80">
        <w:rPr>
          <w:rFonts w:ascii="Bookman Old Style" w:hAnsi="Bookman Old Style"/>
          <w:sz w:val="18"/>
          <w:szCs w:val="18"/>
        </w:rPr>
        <w:t>992;</w:t>
      </w:r>
      <w:r w:rsidRPr="00E65D80">
        <w:rPr>
          <w:rFonts w:ascii="Bookman Old Style" w:hAnsi="Bookman Old Style"/>
          <w:sz w:val="18"/>
          <w:szCs w:val="18"/>
          <w:lang w:val="es-CO"/>
        </w:rPr>
        <w:t xml:space="preserve"> SP1111-2018,11 abr 2018, Rad. 42.589 y </w:t>
      </w:r>
      <w:r w:rsidRPr="00E65D80">
        <w:rPr>
          <w:rFonts w:ascii="Bookman Old Style" w:hAnsi="Bookman Old Style"/>
          <w:sz w:val="18"/>
          <w:szCs w:val="18"/>
          <w:lang w:val="es-ES"/>
        </w:rPr>
        <w:t>SP440-2024, 6 mar. Rad. 61.208.</w:t>
      </w:r>
    </w:p>
  </w:footnote>
  <w:footnote w:id="18">
    <w:p w14:paraId="17D80333" w14:textId="2F6E643E" w:rsidR="00225ED1" w:rsidRPr="00E65D80" w:rsidRDefault="00225ED1" w:rsidP="00E65D80">
      <w:pPr>
        <w:pStyle w:val="Textonotapie"/>
        <w:jc w:val="both"/>
        <w:rPr>
          <w:rFonts w:ascii="Bookman Old Style" w:hAnsi="Bookman Old Style"/>
          <w:sz w:val="18"/>
          <w:szCs w:val="18"/>
          <w:lang w:val="es-CO"/>
        </w:rPr>
      </w:pPr>
      <w:r w:rsidRPr="00E65D80">
        <w:rPr>
          <w:rStyle w:val="Refdenotaalpie"/>
          <w:rFonts w:ascii="Bookman Old Style" w:hAnsi="Bookman Old Style"/>
          <w:sz w:val="18"/>
          <w:szCs w:val="18"/>
        </w:rPr>
        <w:footnoteRef/>
      </w:r>
      <w:r w:rsidRPr="00BD1D61">
        <w:rPr>
          <w:rFonts w:ascii="Bookman Old Style" w:hAnsi="Bookman Old Style"/>
          <w:sz w:val="18"/>
          <w:szCs w:val="18"/>
          <w:lang w:val="es-ES"/>
        </w:rPr>
        <w:t xml:space="preserve"> </w:t>
      </w:r>
      <w:r w:rsidR="004A1FFB" w:rsidRPr="00BD1D61">
        <w:rPr>
          <w:rFonts w:ascii="Bookman Old Style" w:hAnsi="Bookman Old Style"/>
          <w:i/>
          <w:iCs/>
          <w:sz w:val="18"/>
          <w:szCs w:val="18"/>
          <w:lang w:val="es-ES"/>
        </w:rPr>
        <w:t>Cfr</w:t>
      </w:r>
      <w:r w:rsidR="004A1FFB" w:rsidRPr="00BD1D61">
        <w:rPr>
          <w:rFonts w:ascii="Bookman Old Style" w:hAnsi="Bookman Old Style"/>
          <w:sz w:val="18"/>
          <w:szCs w:val="18"/>
          <w:lang w:val="es-ES"/>
        </w:rPr>
        <w:t xml:space="preserve">. CSJ-AP554-2019, 20 feb. Rad. 50.077; SP3029-2019, 31 jul. </w:t>
      </w:r>
      <w:r w:rsidR="004A1FFB" w:rsidRPr="00E65D80">
        <w:rPr>
          <w:rFonts w:ascii="Bookman Old Style" w:hAnsi="Bookman Old Style"/>
          <w:sz w:val="18"/>
          <w:szCs w:val="18"/>
          <w:lang w:val="es-CO"/>
        </w:rPr>
        <w:t>Rad. 51.530.</w:t>
      </w:r>
    </w:p>
  </w:footnote>
  <w:footnote w:id="19">
    <w:p w14:paraId="23F68806" w14:textId="3973E02A" w:rsidR="00225ED1" w:rsidRPr="00BD1D61" w:rsidRDefault="00225ED1" w:rsidP="00E65D80">
      <w:pPr>
        <w:pStyle w:val="Textonotapie"/>
        <w:jc w:val="both"/>
        <w:rPr>
          <w:rFonts w:ascii="Bookman Old Style" w:hAnsi="Bookman Old Style"/>
          <w:sz w:val="18"/>
          <w:szCs w:val="18"/>
          <w:lang w:val="de-DE"/>
        </w:rPr>
      </w:pPr>
      <w:r w:rsidRPr="00E65D80">
        <w:rPr>
          <w:rStyle w:val="Refdenotaalpie"/>
          <w:rFonts w:ascii="Bookman Old Style" w:hAnsi="Bookman Old Style"/>
          <w:sz w:val="18"/>
          <w:szCs w:val="18"/>
        </w:rPr>
        <w:footnoteRef/>
      </w:r>
      <w:r w:rsidRPr="00E65D80">
        <w:rPr>
          <w:rFonts w:ascii="Bookman Old Style" w:hAnsi="Bookman Old Style"/>
          <w:sz w:val="18"/>
          <w:szCs w:val="18"/>
          <w:lang w:val="es-CO"/>
        </w:rPr>
        <w:t xml:space="preserve"> </w:t>
      </w:r>
      <w:r w:rsidRPr="00E65D80">
        <w:rPr>
          <w:rFonts w:ascii="Bookman Old Style" w:hAnsi="Bookman Old Style"/>
          <w:i/>
          <w:iCs/>
          <w:sz w:val="18"/>
          <w:szCs w:val="18"/>
          <w:lang w:val="es-CO"/>
        </w:rPr>
        <w:t>Cfr</w:t>
      </w:r>
      <w:r w:rsidRPr="00E65D80">
        <w:rPr>
          <w:rFonts w:ascii="Bookman Old Style" w:hAnsi="Bookman Old Style"/>
          <w:sz w:val="18"/>
          <w:szCs w:val="18"/>
          <w:lang w:val="es-CO"/>
        </w:rPr>
        <w:t>. CSJ-AP554-2019</w:t>
      </w:r>
      <w:r w:rsidR="004A1FFB" w:rsidRPr="00E65D80">
        <w:rPr>
          <w:rFonts w:ascii="Bookman Old Style" w:hAnsi="Bookman Old Style"/>
          <w:sz w:val="18"/>
          <w:szCs w:val="18"/>
          <w:lang w:val="es-CO"/>
        </w:rPr>
        <w:t>.</w:t>
      </w:r>
      <w:r w:rsidRPr="00E65D80">
        <w:rPr>
          <w:rFonts w:ascii="Bookman Old Style" w:hAnsi="Bookman Old Style"/>
          <w:sz w:val="18"/>
          <w:szCs w:val="18"/>
          <w:lang w:val="es-CO"/>
        </w:rPr>
        <w:t xml:space="preserve"> </w:t>
      </w:r>
      <w:r w:rsidRPr="00BD1D61">
        <w:rPr>
          <w:rFonts w:ascii="Bookman Old Style" w:hAnsi="Bookman Old Style"/>
          <w:sz w:val="18"/>
          <w:szCs w:val="18"/>
          <w:lang w:val="de-DE"/>
        </w:rPr>
        <w:t>20 feb. Rad. 50</w:t>
      </w:r>
      <w:r w:rsidR="004A1FFB" w:rsidRPr="00BD1D61">
        <w:rPr>
          <w:rFonts w:ascii="Bookman Old Style" w:hAnsi="Bookman Old Style"/>
          <w:sz w:val="18"/>
          <w:szCs w:val="18"/>
          <w:lang w:val="de-DE"/>
        </w:rPr>
        <w:t>.</w:t>
      </w:r>
      <w:r w:rsidRPr="00BD1D61">
        <w:rPr>
          <w:rFonts w:ascii="Bookman Old Style" w:hAnsi="Bookman Old Style"/>
          <w:sz w:val="18"/>
          <w:szCs w:val="18"/>
          <w:lang w:val="de-DE"/>
        </w:rPr>
        <w:t xml:space="preserve">077; </w:t>
      </w:r>
      <w:r w:rsidR="004A1FFB" w:rsidRPr="00BD1D61">
        <w:rPr>
          <w:rFonts w:ascii="Bookman Old Style" w:hAnsi="Bookman Old Style"/>
          <w:sz w:val="18"/>
          <w:szCs w:val="18"/>
          <w:lang w:val="de-DE"/>
        </w:rPr>
        <w:t>SP3029-2019. 31 jul. R</w:t>
      </w:r>
      <w:r w:rsidRPr="00BD1D61">
        <w:rPr>
          <w:rFonts w:ascii="Bookman Old Style" w:hAnsi="Bookman Old Style"/>
          <w:sz w:val="18"/>
          <w:szCs w:val="18"/>
          <w:lang w:val="de-DE"/>
        </w:rPr>
        <w:t>ad. 51530</w:t>
      </w:r>
      <w:r w:rsidR="004A1FFB" w:rsidRPr="00BD1D61">
        <w:rPr>
          <w:rFonts w:ascii="Bookman Old Style" w:hAnsi="Bookman Old Style"/>
          <w:sz w:val="18"/>
          <w:szCs w:val="18"/>
          <w:lang w:val="de-DE"/>
        </w:rPr>
        <w:t>.</w:t>
      </w:r>
    </w:p>
  </w:footnote>
  <w:footnote w:id="20">
    <w:p w14:paraId="78FD2B0A" w14:textId="58AAA45C" w:rsidR="00B3278A" w:rsidRPr="00E65D80" w:rsidRDefault="00B3278A"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Acta de remate del 25 de mayo de 2012, la providencia que aprobó el remate, el despacho comisorio del 12 de septiembre de 2013, el acta de entrega del bien del 31 de enero de 2014, la constancia judicial del 17 de junio de 2015, el certificado de libertad y tradición, las escrituras públicas 305 de 1954, 02655 de 2001 y 1778 de 2014, las denuncias penales de 23 de agosto de 2013 y 27 de noviembre de 2015, el acta de conciliación del 24 de octubre de 2013, el plano del IGAC, el informe de Cortolima, el dictamen pericial del 2 de noviembre de 2016 y el informe de investigador de campo del 31 de enero de 2018.</w:t>
      </w:r>
    </w:p>
  </w:footnote>
  <w:footnote w:id="21">
    <w:p w14:paraId="592B942A" w14:textId="77777777" w:rsidR="003C6C5D" w:rsidRPr="00E65D80" w:rsidRDefault="003C6C5D"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Al Instituto de Planificación y Promoción de Soluciones Energéticas para las Zonas No Interconectadas (IPSE), antes Instituto Colombiano de Energía Eléctrica (ICEL), ni a Gestión Energética S.A. E.S.P. (GENSA), ni a la Empresa de Energía del Pacífico S.A. E.S.P. (EPSA).</w:t>
      </w:r>
    </w:p>
  </w:footnote>
  <w:footnote w:id="22">
    <w:p w14:paraId="761D60D1" w14:textId="0119B10B" w:rsidR="00E376E3" w:rsidRPr="00E65D80" w:rsidRDefault="00E376E3"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Entre esos soportes están las escrituras públicas 820 del 18 de abril de 1978, 4457 del 26 de junio de 2007 y 9533 del 20 de diciembre de 2007, los certificados de tradición de las matrículas 368-424 y 368-24060, una imagen o fotografía de referencia sobre la zona del embalse, la diligencia de entrega del inmueble del 31 de enero de 2014, el plano predial rural y la Resolución 004 del 1º de junio de 2018, expedida dentro del trámite policivo.</w:t>
      </w:r>
    </w:p>
  </w:footnote>
  <w:footnote w:id="23">
    <w:p w14:paraId="3CB4953E" w14:textId="77777777" w:rsidR="00D373D7" w:rsidRPr="00E65D80" w:rsidRDefault="00D373D7" w:rsidP="00D373D7">
      <w:pPr>
        <w:pStyle w:val="Textonotapie"/>
        <w:jc w:val="both"/>
        <w:rPr>
          <w:rFonts w:ascii="Bookman Old Style" w:hAnsi="Bookman Old Style"/>
          <w:sz w:val="18"/>
          <w:szCs w:val="18"/>
          <w:lang w:val="es-ES"/>
        </w:rPr>
      </w:pPr>
      <w:r w:rsidRPr="00E65D80">
        <w:rPr>
          <w:rStyle w:val="Refdenotaalpie"/>
          <w:rFonts w:ascii="Bookman Old Style" w:hAnsi="Bookman Old Style"/>
          <w:sz w:val="18"/>
          <w:szCs w:val="18"/>
        </w:rPr>
        <w:footnoteRef/>
      </w:r>
      <w:r w:rsidRPr="00E65D80">
        <w:rPr>
          <w:rFonts w:ascii="Bookman Old Style" w:hAnsi="Bookman Old Style"/>
          <w:sz w:val="18"/>
          <w:szCs w:val="18"/>
          <w:lang w:val="de-DE"/>
        </w:rPr>
        <w:t xml:space="preserve"> </w:t>
      </w:r>
      <w:r w:rsidRPr="00E65D80">
        <w:rPr>
          <w:rFonts w:ascii="Bookman Old Style" w:hAnsi="Bookman Old Style"/>
          <w:i/>
          <w:iCs/>
          <w:sz w:val="18"/>
          <w:szCs w:val="18"/>
          <w:lang w:val="de-DE"/>
        </w:rPr>
        <w:t>Cfr</w:t>
      </w:r>
      <w:r w:rsidRPr="00E65D80">
        <w:rPr>
          <w:rFonts w:ascii="Bookman Old Style" w:hAnsi="Bookman Old Style"/>
          <w:sz w:val="18"/>
          <w:szCs w:val="18"/>
          <w:lang w:val="de-DE"/>
        </w:rPr>
        <w:t xml:space="preserve">. CSJ SP4367-2020, 11 nov. Rad. 54.480; SP1635-2025, 4 jun. </w:t>
      </w:r>
      <w:r w:rsidRPr="00E65D80">
        <w:rPr>
          <w:rFonts w:ascii="Bookman Old Style" w:hAnsi="Bookman Old Style"/>
          <w:sz w:val="18"/>
          <w:szCs w:val="18"/>
          <w:lang w:val="es-ES"/>
        </w:rPr>
        <w:t>Rad. 61.022 y SP027-2026, 28 ene. Rad. 60.950.</w:t>
      </w:r>
    </w:p>
  </w:footnote>
  <w:footnote w:id="24">
    <w:p w14:paraId="0921A6AB" w14:textId="77777777" w:rsidR="007D7D4A" w:rsidRPr="00E65D80" w:rsidRDefault="007D7D4A" w:rsidP="007D7D4A">
      <w:pPr>
        <w:pStyle w:val="Textonotapie"/>
        <w:jc w:val="both"/>
        <w:rPr>
          <w:rFonts w:ascii="Bookman Old Style" w:hAnsi="Bookman Old Style"/>
          <w:sz w:val="18"/>
          <w:szCs w:val="18"/>
          <w:lang w:val="es-CO"/>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w:t>
      </w:r>
      <w:r w:rsidRPr="00E65D80">
        <w:rPr>
          <w:rFonts w:ascii="Bookman Old Style" w:hAnsi="Bookman Old Style"/>
          <w:i/>
          <w:iCs/>
          <w:sz w:val="18"/>
          <w:szCs w:val="18"/>
        </w:rPr>
        <w:t>Cfr</w:t>
      </w:r>
      <w:r w:rsidRPr="00E65D80">
        <w:rPr>
          <w:rFonts w:ascii="Bookman Old Style" w:hAnsi="Bookman Old Style"/>
          <w:sz w:val="18"/>
          <w:szCs w:val="18"/>
        </w:rPr>
        <w:t>. CC- C-243 de 1993, C-060 de 2008 y C-549 de 2019.</w:t>
      </w:r>
    </w:p>
  </w:footnote>
  <w:footnote w:id="25">
    <w:p w14:paraId="059D1355" w14:textId="77777777" w:rsidR="00653DCA" w:rsidRPr="00E65D80" w:rsidRDefault="00653DCA"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lang w:val="de-DE"/>
        </w:rPr>
        <w:t xml:space="preserve"> </w:t>
      </w:r>
      <w:r w:rsidRPr="00E65D80">
        <w:rPr>
          <w:rFonts w:ascii="Bookman Old Style" w:hAnsi="Bookman Old Style"/>
          <w:i/>
          <w:iCs/>
          <w:sz w:val="18"/>
          <w:szCs w:val="18"/>
          <w:lang w:val="de-DE"/>
        </w:rPr>
        <w:t>Cfr</w:t>
      </w:r>
      <w:r w:rsidRPr="00E65D80">
        <w:rPr>
          <w:rFonts w:ascii="Bookman Old Style" w:hAnsi="Bookman Old Style"/>
          <w:sz w:val="18"/>
          <w:szCs w:val="18"/>
          <w:lang w:val="de-DE"/>
        </w:rPr>
        <w:t xml:space="preserve">. CSJ -SP2209-2024, 14 agt. Rad. 58.153; SP1635-2025, 4 jun. </w:t>
      </w:r>
      <w:r w:rsidRPr="00E65D80">
        <w:rPr>
          <w:rFonts w:ascii="Bookman Old Style" w:hAnsi="Bookman Old Style"/>
          <w:sz w:val="18"/>
          <w:szCs w:val="18"/>
          <w:lang w:val="es-ES"/>
        </w:rPr>
        <w:t>Rad. 61.022 y SP027-2026, 28 ene. Rad. 60.950.</w:t>
      </w:r>
    </w:p>
  </w:footnote>
  <w:footnote w:id="26">
    <w:p w14:paraId="7AF9CE7A" w14:textId="57E715BB" w:rsidR="00E65D80" w:rsidRPr="00E65D80" w:rsidRDefault="00E65D80" w:rsidP="00E65D80">
      <w:pPr>
        <w:pStyle w:val="Textonotapie"/>
        <w:jc w:val="both"/>
        <w:rPr>
          <w:rFonts w:ascii="Bookman Old Style" w:hAnsi="Bookman Old Style"/>
          <w:sz w:val="18"/>
          <w:szCs w:val="18"/>
        </w:rPr>
      </w:pPr>
      <w:r w:rsidRPr="00E65D80">
        <w:rPr>
          <w:rStyle w:val="Refdenotaalpie"/>
          <w:rFonts w:ascii="Bookman Old Style" w:hAnsi="Bookman Old Style"/>
          <w:sz w:val="18"/>
          <w:szCs w:val="18"/>
        </w:rPr>
        <w:footnoteRef/>
      </w:r>
      <w:r w:rsidRPr="00E65D80">
        <w:rPr>
          <w:rFonts w:ascii="Bookman Old Style" w:hAnsi="Bookman Old Style"/>
          <w:sz w:val="18"/>
          <w:szCs w:val="18"/>
        </w:rPr>
        <w:t xml:space="preserve"> Ello en armonía con los artículos 22, 23, 77, 204 y 206 de la Ley 1801 de 2016, relativos a la materialización de las órdenes de policía, el uso legítimo de la fuerza por la Policía Nacional, la restitución y protección de bienes inmuebles, la función del alcalde como primera autoridad de policía y las atribuciones de los inspectores de policía.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54A1" w14:textId="77777777" w:rsidR="007137D3" w:rsidRDefault="007137D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883A" w14:textId="77777777" w:rsidR="009236CA" w:rsidRPr="0095113E" w:rsidRDefault="009236CA" w:rsidP="002F0150">
    <w:pPr>
      <w:pStyle w:val="Encabezado"/>
      <w:jc w:val="right"/>
      <w:rPr>
        <w:rFonts w:ascii="Bookman Old Style" w:hAnsi="Bookman Old Style"/>
        <w:b/>
        <w:bCs/>
        <w:sz w:val="18"/>
        <w:szCs w:val="18"/>
      </w:rPr>
    </w:pPr>
    <w:r w:rsidRPr="0095113E">
      <w:rPr>
        <w:rFonts w:ascii="Bookman Old Style" w:hAnsi="Bookman Old Style"/>
        <w:b/>
        <w:bCs/>
        <w:sz w:val="18"/>
        <w:szCs w:val="18"/>
      </w:rPr>
      <w:t>Impugnación Especial</w:t>
    </w:r>
  </w:p>
  <w:p w14:paraId="201BE8CC" w14:textId="3DF6D450" w:rsidR="009236CA" w:rsidRPr="0095113E" w:rsidRDefault="009236CA" w:rsidP="002F0150">
    <w:pPr>
      <w:pStyle w:val="Encabezado"/>
      <w:jc w:val="right"/>
      <w:rPr>
        <w:rFonts w:ascii="Bookman Old Style" w:hAnsi="Bookman Old Style"/>
        <w:sz w:val="18"/>
        <w:szCs w:val="18"/>
      </w:rPr>
    </w:pPr>
    <w:r w:rsidRPr="0095113E">
      <w:rPr>
        <w:rFonts w:ascii="Bookman Old Style" w:hAnsi="Bookman Old Style"/>
        <w:sz w:val="18"/>
        <w:szCs w:val="18"/>
      </w:rPr>
      <w:t xml:space="preserve"> Rad. </w:t>
    </w:r>
    <w:r w:rsidR="0095113E" w:rsidRPr="0095113E">
      <w:rPr>
        <w:rFonts w:ascii="Bookman Old Style" w:hAnsi="Bookman Old Style"/>
        <w:sz w:val="18"/>
        <w:szCs w:val="18"/>
      </w:rPr>
      <w:t>65431</w:t>
    </w:r>
  </w:p>
  <w:p w14:paraId="69BE97C6" w14:textId="2856C7CF" w:rsidR="009236CA" w:rsidRPr="0095113E" w:rsidRDefault="009236CA" w:rsidP="002F0150">
    <w:pPr>
      <w:pStyle w:val="Encabezado"/>
      <w:jc w:val="right"/>
      <w:rPr>
        <w:rFonts w:ascii="Bookman Old Style" w:hAnsi="Bookman Old Style"/>
        <w:sz w:val="18"/>
        <w:szCs w:val="18"/>
      </w:rPr>
    </w:pPr>
    <w:r w:rsidRPr="0095113E">
      <w:rPr>
        <w:rFonts w:ascii="Bookman Old Style" w:hAnsi="Bookman Old Style"/>
        <w:sz w:val="18"/>
        <w:szCs w:val="18"/>
      </w:rPr>
      <w:t xml:space="preserve">CUI </w:t>
    </w:r>
    <w:r w:rsidR="007137D3" w:rsidRPr="007137D3">
      <w:rPr>
        <w:rFonts w:ascii="Bookman Old Style" w:hAnsi="Bookman Old Style"/>
        <w:sz w:val="18"/>
        <w:szCs w:val="18"/>
      </w:rPr>
      <w:t>73585600047420130031001</w:t>
    </w:r>
  </w:p>
  <w:p w14:paraId="1B4C4608" w14:textId="48ACFAA2" w:rsidR="0095113E" w:rsidRPr="0095113E" w:rsidRDefault="1BF8AD46" w:rsidP="1BF8AD46">
    <w:pPr>
      <w:pStyle w:val="Encabezado"/>
      <w:jc w:val="right"/>
      <w:rPr>
        <w:rFonts w:ascii="Bookman Old Style" w:hAnsi="Bookman Old Style"/>
        <w:smallCaps/>
        <w:sz w:val="18"/>
        <w:szCs w:val="18"/>
        <w:lang w:val="es-ES"/>
      </w:rPr>
    </w:pPr>
    <w:r w:rsidRPr="1BF8AD46">
      <w:rPr>
        <w:rFonts w:ascii="Bookman Old Style" w:hAnsi="Bookman Old Style"/>
        <w:smallCaps/>
        <w:sz w:val="18"/>
        <w:szCs w:val="18"/>
        <w:lang w:val="es-ES"/>
      </w:rPr>
      <w:t>Armando Loaiza Céspedes,</w:t>
    </w:r>
  </w:p>
  <w:p w14:paraId="4FD17393" w14:textId="2F17EBCC" w:rsidR="009236CA" w:rsidRPr="0095113E" w:rsidRDefault="0095113E" w:rsidP="00533ED8">
    <w:pPr>
      <w:pStyle w:val="Encabezado"/>
      <w:tabs>
        <w:tab w:val="clear" w:pos="4419"/>
        <w:tab w:val="clear" w:pos="8838"/>
      </w:tabs>
      <w:ind w:left="4248"/>
      <w:jc w:val="right"/>
      <w:rPr>
        <w:rFonts w:ascii="Bookman Old Style" w:hAnsi="Bookman Old Style"/>
        <w:smallCaps/>
        <w:sz w:val="18"/>
        <w:szCs w:val="18"/>
      </w:rPr>
    </w:pPr>
    <w:r w:rsidRPr="0095113E">
      <w:rPr>
        <w:rFonts w:ascii="Bookman Old Style" w:hAnsi="Bookman Old Style"/>
        <w:smallCaps/>
        <w:sz w:val="18"/>
        <w:szCs w:val="18"/>
      </w:rPr>
      <w:t xml:space="preserve">Luis Enrique Peña Camacho </w:t>
    </w:r>
    <w:r w:rsidRPr="0095113E">
      <w:rPr>
        <w:rFonts w:ascii="Bookman Old Style" w:hAnsi="Bookman Old Style"/>
        <w:sz w:val="18"/>
        <w:szCs w:val="18"/>
      </w:rPr>
      <w:t>y</w:t>
    </w:r>
    <w:r w:rsidRPr="0095113E">
      <w:rPr>
        <w:rFonts w:ascii="Bookman Old Style" w:hAnsi="Bookman Old Style"/>
        <w:smallCaps/>
        <w:sz w:val="18"/>
        <w:szCs w:val="18"/>
      </w:rPr>
      <w:t xml:space="preserve"> </w:t>
    </w:r>
    <w:r w:rsidR="00B71A9A">
      <w:rPr>
        <w:rFonts w:ascii="Bookman Old Style" w:hAnsi="Bookman Old Style"/>
        <w:smallCaps/>
        <w:sz w:val="18"/>
        <w:szCs w:val="18"/>
      </w:rPr>
      <w:t>É</w:t>
    </w:r>
    <w:r w:rsidRPr="0095113E">
      <w:rPr>
        <w:rFonts w:ascii="Bookman Old Style" w:hAnsi="Bookman Old Style"/>
        <w:smallCaps/>
        <w:sz w:val="18"/>
        <w:szCs w:val="18"/>
      </w:rPr>
      <w:t>dgar Triana</w:t>
    </w:r>
  </w:p>
  <w:p w14:paraId="330FAA58" w14:textId="235ECEDA" w:rsidR="009236CA" w:rsidRPr="002B4018" w:rsidRDefault="00B71A9A" w:rsidP="0095113E">
    <w:pPr>
      <w:pStyle w:val="Encabezado"/>
      <w:rPr>
        <w:lang w:val="es-CO"/>
      </w:rPr>
    </w:pPr>
    <w:r w:rsidRPr="007A7ED5">
      <w:rPr>
        <w:b/>
        <w:bCs/>
        <w:noProof/>
      </w:rPr>
      <w:drawing>
        <wp:anchor distT="0" distB="0" distL="114300" distR="114300" simplePos="0" relativeHeight="251659264" behindDoc="0" locked="0" layoutInCell="1" allowOverlap="1" wp14:anchorId="07323580" wp14:editId="029160E8">
          <wp:simplePos x="0" y="0"/>
          <wp:positionH relativeFrom="page">
            <wp:posOffset>1390650</wp:posOffset>
          </wp:positionH>
          <wp:positionV relativeFrom="margin">
            <wp:posOffset>4357370</wp:posOffset>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0168D" w14:textId="48134875" w:rsidR="009236CA" w:rsidRDefault="00533ED8" w:rsidP="002F0150">
    <w:pPr>
      <w:pStyle w:val="Encabezado"/>
      <w:jc w:val="center"/>
    </w:pPr>
    <w:r w:rsidRPr="007A7ED5">
      <w:rPr>
        <w:b/>
        <w:bCs/>
        <w:noProof/>
      </w:rPr>
      <w:drawing>
        <wp:anchor distT="0" distB="0" distL="114300" distR="114300" simplePos="0" relativeHeight="251661312" behindDoc="0" locked="0" layoutInCell="1" allowOverlap="1" wp14:anchorId="5EBBAA28" wp14:editId="7DA7ABA5">
          <wp:simplePos x="0" y="0"/>
          <wp:positionH relativeFrom="page">
            <wp:posOffset>1552575</wp:posOffset>
          </wp:positionH>
          <wp:positionV relativeFrom="margin">
            <wp:posOffset>3112770</wp:posOffset>
          </wp:positionV>
          <wp:extent cx="5376545" cy="2244725"/>
          <wp:effectExtent l="0" t="0" r="0" b="3175"/>
          <wp:wrapNone/>
          <wp:docPr id="17660365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545" cy="2244725"/>
                  </a:xfrm>
                  <a:prstGeom prst="rect">
                    <a:avLst/>
                  </a:prstGeom>
                </pic:spPr>
              </pic:pic>
            </a:graphicData>
          </a:graphic>
          <wp14:sizeRelH relativeFrom="margin">
            <wp14:pctWidth>0</wp14:pctWidth>
          </wp14:sizeRelH>
          <wp14:sizeRelV relativeFrom="margin">
            <wp14:pctHeight>0</wp14:pctHeight>
          </wp14:sizeRelV>
        </wp:anchor>
      </w:drawing>
    </w:r>
    <w:r w:rsidRPr="00A26F89">
      <w:rPr>
        <w:rFonts w:ascii="Bookman Old Style" w:hAnsi="Bookman Old Style"/>
        <w:noProof/>
      </w:rPr>
      <w:drawing>
        <wp:inline distT="0" distB="0" distL="0" distR="0" wp14:anchorId="1AF631C3" wp14:editId="642BD0BF">
          <wp:extent cx="1944400" cy="1980738"/>
          <wp:effectExtent l="0" t="0" r="0" b="635"/>
          <wp:docPr id="1349668226" name="Imagen 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68226" name="Imagen 4" descr="Diagrama&#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1952491" cy="1988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39CB"/>
    <w:multiLevelType w:val="hybridMultilevel"/>
    <w:tmpl w:val="EF682E72"/>
    <w:lvl w:ilvl="0" w:tplc="9CDAEDF2">
      <w:start w:val="1"/>
      <w:numFmt w:val="decimal"/>
      <w:lvlText w:val="%1."/>
      <w:lvlJc w:val="left"/>
      <w:pPr>
        <w:ind w:left="947" w:hanging="38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4A67D66"/>
    <w:multiLevelType w:val="hybridMultilevel"/>
    <w:tmpl w:val="83BC3012"/>
    <w:lvl w:ilvl="0" w:tplc="DB5295C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091C2121"/>
    <w:multiLevelType w:val="hybridMultilevel"/>
    <w:tmpl w:val="A8183832"/>
    <w:lvl w:ilvl="0" w:tplc="DB5295C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B0D24FC"/>
    <w:multiLevelType w:val="hybridMultilevel"/>
    <w:tmpl w:val="FEAE24E8"/>
    <w:lvl w:ilvl="0" w:tplc="0562C250">
      <w:start w:val="1"/>
      <w:numFmt w:val="low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0F4E4E34"/>
    <w:multiLevelType w:val="hybridMultilevel"/>
    <w:tmpl w:val="05A86E34"/>
    <w:lvl w:ilvl="0" w:tplc="59661F7A">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0">
    <w:nsid w:val="0F880B4F"/>
    <w:multiLevelType w:val="hybridMultilevel"/>
    <w:tmpl w:val="33A6C1AC"/>
    <w:lvl w:ilvl="0" w:tplc="8C8697D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14A041C"/>
    <w:multiLevelType w:val="hybridMultilevel"/>
    <w:tmpl w:val="AF62DE42"/>
    <w:lvl w:ilvl="0" w:tplc="64E044B8">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7" w15:restartNumberingAfterBreak="0">
    <w:nsid w:val="1A086A1C"/>
    <w:multiLevelType w:val="hybridMultilevel"/>
    <w:tmpl w:val="C24A4A3E"/>
    <w:lvl w:ilvl="0" w:tplc="080A0019">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904AAB"/>
    <w:multiLevelType w:val="hybridMultilevel"/>
    <w:tmpl w:val="DF1495CE"/>
    <w:lvl w:ilvl="0" w:tplc="0CCAF238">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224E3A12"/>
    <w:multiLevelType w:val="hybridMultilevel"/>
    <w:tmpl w:val="F9FCBA12"/>
    <w:lvl w:ilvl="0" w:tplc="7AE880F6">
      <w:start w:val="1"/>
      <w:numFmt w:val="lowerLetter"/>
      <w:lvlText w:val="%1."/>
      <w:lvlJc w:val="left"/>
      <w:pPr>
        <w:ind w:left="947" w:hanging="38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0">
    <w:nsid w:val="2A3D1D2D"/>
    <w:multiLevelType w:val="multilevel"/>
    <w:tmpl w:val="B5CE295C"/>
    <w:lvl w:ilvl="0">
      <w:start w:val="1"/>
      <w:numFmt w:val="decimal"/>
      <w:suff w:val="space"/>
      <w:lvlText w:val="%1.- "/>
      <w:lvlJc w:val="left"/>
      <w:pPr>
        <w:ind w:left="418" w:firstLine="717"/>
      </w:pPr>
      <w:rPr>
        <w:rFonts w:ascii="Bookman Old Style" w:hAnsi="Bookman Old Style" w:hint="default"/>
        <w:b w:val="0"/>
        <w:i w:val="0"/>
        <w:sz w:val="28"/>
        <w:szCs w:val="28"/>
        <w:lang w:val="es-C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282DD3"/>
    <w:multiLevelType w:val="hybridMultilevel"/>
    <w:tmpl w:val="8FDC67C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830A63"/>
    <w:multiLevelType w:val="hybridMultilevel"/>
    <w:tmpl w:val="B052E00A"/>
    <w:lvl w:ilvl="0" w:tplc="59243E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39779F"/>
    <w:multiLevelType w:val="hybridMultilevel"/>
    <w:tmpl w:val="0714F592"/>
    <w:lvl w:ilvl="0" w:tplc="DB5295C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15:restartNumberingAfterBreak="0">
    <w:nsid w:val="38846BE1"/>
    <w:multiLevelType w:val="hybridMultilevel"/>
    <w:tmpl w:val="A954A97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02F1C7F"/>
    <w:multiLevelType w:val="hybridMultilevel"/>
    <w:tmpl w:val="65D065E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0E307BD"/>
    <w:multiLevelType w:val="hybridMultilevel"/>
    <w:tmpl w:val="AAAC23DC"/>
    <w:lvl w:ilvl="0" w:tplc="EB8CEFE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4D947998"/>
    <w:multiLevelType w:val="hybridMultilevel"/>
    <w:tmpl w:val="6DCEF29E"/>
    <w:lvl w:ilvl="0" w:tplc="1ABAA66A">
      <w:start w:val="8"/>
      <w:numFmt w:val="decimal"/>
      <w:lvlText w:val="%1."/>
      <w:lvlJc w:val="left"/>
      <w:pPr>
        <w:ind w:left="720" w:hanging="360"/>
      </w:pPr>
      <w:rPr>
        <w:rFonts w:hint="default"/>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45C032E"/>
    <w:multiLevelType w:val="hybridMultilevel"/>
    <w:tmpl w:val="091A9720"/>
    <w:lvl w:ilvl="0" w:tplc="253CFB0E">
      <w:start w:val="1"/>
      <w:numFmt w:val="decimal"/>
      <w:lvlText w:val="%1."/>
      <w:lvlJc w:val="left"/>
      <w:pPr>
        <w:ind w:left="947" w:hanging="38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5ABF26AF"/>
    <w:multiLevelType w:val="hybridMultilevel"/>
    <w:tmpl w:val="6214F610"/>
    <w:lvl w:ilvl="0" w:tplc="240A0015">
      <w:start w:val="1"/>
      <w:numFmt w:val="upperLetter"/>
      <w:lvlText w:val="%1."/>
      <w:lvlJc w:val="left"/>
      <w:pPr>
        <w:ind w:left="1636" w:hanging="360"/>
      </w:pPr>
      <w:rPr>
        <w:rFonts w:hint="default"/>
      </w:rPr>
    </w:lvl>
    <w:lvl w:ilvl="1" w:tplc="240A0019" w:tentative="1">
      <w:start w:val="1"/>
      <w:numFmt w:val="lowerLetter"/>
      <w:lvlText w:val="%2."/>
      <w:lvlJc w:val="left"/>
      <w:pPr>
        <w:ind w:left="2356" w:hanging="360"/>
      </w:pPr>
    </w:lvl>
    <w:lvl w:ilvl="2" w:tplc="240A001B" w:tentative="1">
      <w:start w:val="1"/>
      <w:numFmt w:val="lowerRoman"/>
      <w:lvlText w:val="%3."/>
      <w:lvlJc w:val="right"/>
      <w:pPr>
        <w:ind w:left="3076" w:hanging="180"/>
      </w:pPr>
    </w:lvl>
    <w:lvl w:ilvl="3" w:tplc="240A000F" w:tentative="1">
      <w:start w:val="1"/>
      <w:numFmt w:val="decimal"/>
      <w:lvlText w:val="%4."/>
      <w:lvlJc w:val="left"/>
      <w:pPr>
        <w:ind w:left="3796" w:hanging="360"/>
      </w:pPr>
    </w:lvl>
    <w:lvl w:ilvl="4" w:tplc="240A0019" w:tentative="1">
      <w:start w:val="1"/>
      <w:numFmt w:val="lowerLetter"/>
      <w:lvlText w:val="%5."/>
      <w:lvlJc w:val="left"/>
      <w:pPr>
        <w:ind w:left="4516" w:hanging="360"/>
      </w:pPr>
    </w:lvl>
    <w:lvl w:ilvl="5" w:tplc="240A001B" w:tentative="1">
      <w:start w:val="1"/>
      <w:numFmt w:val="lowerRoman"/>
      <w:lvlText w:val="%6."/>
      <w:lvlJc w:val="right"/>
      <w:pPr>
        <w:ind w:left="5236" w:hanging="180"/>
      </w:pPr>
    </w:lvl>
    <w:lvl w:ilvl="6" w:tplc="240A000F" w:tentative="1">
      <w:start w:val="1"/>
      <w:numFmt w:val="decimal"/>
      <w:lvlText w:val="%7."/>
      <w:lvlJc w:val="left"/>
      <w:pPr>
        <w:ind w:left="5956" w:hanging="360"/>
      </w:pPr>
    </w:lvl>
    <w:lvl w:ilvl="7" w:tplc="240A0019" w:tentative="1">
      <w:start w:val="1"/>
      <w:numFmt w:val="lowerLetter"/>
      <w:lvlText w:val="%8."/>
      <w:lvlJc w:val="left"/>
      <w:pPr>
        <w:ind w:left="6676" w:hanging="360"/>
      </w:pPr>
    </w:lvl>
    <w:lvl w:ilvl="8" w:tplc="240A001B" w:tentative="1">
      <w:start w:val="1"/>
      <w:numFmt w:val="lowerRoman"/>
      <w:lvlText w:val="%9."/>
      <w:lvlJc w:val="right"/>
      <w:pPr>
        <w:ind w:left="7396" w:hanging="180"/>
      </w:pPr>
    </w:lvl>
  </w:abstractNum>
  <w:abstractNum w:abstractNumId="20" w15:restartNumberingAfterBreak="0">
    <w:nsid w:val="5BDC52D9"/>
    <w:multiLevelType w:val="hybridMultilevel"/>
    <w:tmpl w:val="F16C6A20"/>
    <w:lvl w:ilvl="0" w:tplc="A2D668CC">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1" w15:restartNumberingAfterBreak="0">
    <w:nsid w:val="5D6532EE"/>
    <w:multiLevelType w:val="hybridMultilevel"/>
    <w:tmpl w:val="B92EC9B6"/>
    <w:lvl w:ilvl="0" w:tplc="68E0FB06">
      <w:start w:val="1"/>
      <w:numFmt w:val="decimal"/>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2" w15:restartNumberingAfterBreak="0">
    <w:nsid w:val="5FDF3A43"/>
    <w:multiLevelType w:val="hybridMultilevel"/>
    <w:tmpl w:val="F732E7E6"/>
    <w:lvl w:ilvl="0" w:tplc="85F6C354">
      <w:start w:val="10"/>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3" w15:restartNumberingAfterBreak="0">
    <w:nsid w:val="6773009A"/>
    <w:multiLevelType w:val="hybridMultilevel"/>
    <w:tmpl w:val="D8C8014E"/>
    <w:lvl w:ilvl="0" w:tplc="8D82303A">
      <w:start w:val="1"/>
      <w:numFmt w:val="decimal"/>
      <w:lvlText w:val="%1."/>
      <w:lvlJc w:val="left"/>
      <w:pPr>
        <w:ind w:left="720" w:hanging="360"/>
      </w:pPr>
      <w:rPr>
        <w:rFonts w:hint="default"/>
        <w:b w:val="0"/>
        <w:bCs/>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802745E"/>
    <w:multiLevelType w:val="hybridMultilevel"/>
    <w:tmpl w:val="8D52F1D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8D1701A"/>
    <w:multiLevelType w:val="hybridMultilevel"/>
    <w:tmpl w:val="5DE0CCDA"/>
    <w:lvl w:ilvl="0" w:tplc="16F0666A">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6D2C6FE1"/>
    <w:multiLevelType w:val="hybridMultilevel"/>
    <w:tmpl w:val="23D04A3A"/>
    <w:lvl w:ilvl="0" w:tplc="4F167858">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680ABA"/>
    <w:multiLevelType w:val="hybridMultilevel"/>
    <w:tmpl w:val="F274CBF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88235252">
    <w:abstractNumId w:val="26"/>
  </w:num>
  <w:num w:numId="2" w16cid:durableId="1435709827">
    <w:abstractNumId w:val="19"/>
  </w:num>
  <w:num w:numId="3" w16cid:durableId="1659844816">
    <w:abstractNumId w:val="21"/>
  </w:num>
  <w:num w:numId="4" w16cid:durableId="1115173445">
    <w:abstractNumId w:val="5"/>
  </w:num>
  <w:num w:numId="5" w16cid:durableId="405996795">
    <w:abstractNumId w:val="20"/>
  </w:num>
  <w:num w:numId="6" w16cid:durableId="650714116">
    <w:abstractNumId w:val="2"/>
  </w:num>
  <w:num w:numId="7" w16cid:durableId="574320246">
    <w:abstractNumId w:val="3"/>
  </w:num>
  <w:num w:numId="8" w16cid:durableId="292323203">
    <w:abstractNumId w:val="18"/>
  </w:num>
  <w:num w:numId="9" w16cid:durableId="887380703">
    <w:abstractNumId w:val="23"/>
  </w:num>
  <w:num w:numId="10" w16cid:durableId="2076934010">
    <w:abstractNumId w:val="1"/>
  </w:num>
  <w:num w:numId="11" w16cid:durableId="236284714">
    <w:abstractNumId w:val="13"/>
  </w:num>
  <w:num w:numId="12" w16cid:durableId="400953818">
    <w:abstractNumId w:val="10"/>
  </w:num>
  <w:num w:numId="13" w16cid:durableId="737820488">
    <w:abstractNumId w:val="27"/>
  </w:num>
  <w:num w:numId="14" w16cid:durableId="1975327823">
    <w:abstractNumId w:val="11"/>
  </w:num>
  <w:num w:numId="15" w16cid:durableId="737440933">
    <w:abstractNumId w:val="17"/>
  </w:num>
  <w:num w:numId="16" w16cid:durableId="1442652734">
    <w:abstractNumId w:val="0"/>
  </w:num>
  <w:num w:numId="17" w16cid:durableId="412430485">
    <w:abstractNumId w:val="16"/>
  </w:num>
  <w:num w:numId="18" w16cid:durableId="855922691">
    <w:abstractNumId w:val="9"/>
  </w:num>
  <w:num w:numId="19" w16cid:durableId="797718801">
    <w:abstractNumId w:val="25"/>
  </w:num>
  <w:num w:numId="20" w16cid:durableId="1245265217">
    <w:abstractNumId w:val="6"/>
  </w:num>
  <w:num w:numId="21" w16cid:durableId="1862352491">
    <w:abstractNumId w:val="14"/>
  </w:num>
  <w:num w:numId="22" w16cid:durableId="161509224">
    <w:abstractNumId w:val="15"/>
  </w:num>
  <w:num w:numId="23" w16cid:durableId="2120222498">
    <w:abstractNumId w:val="24"/>
  </w:num>
  <w:num w:numId="24" w16cid:durableId="10837229">
    <w:abstractNumId w:val="4"/>
  </w:num>
  <w:num w:numId="25" w16cid:durableId="1119449044">
    <w:abstractNumId w:val="7"/>
  </w:num>
  <w:num w:numId="26" w16cid:durableId="241456060">
    <w:abstractNumId w:val="12"/>
  </w:num>
  <w:num w:numId="27" w16cid:durableId="728070672">
    <w:abstractNumId w:val="8"/>
  </w:num>
  <w:num w:numId="28" w16cid:durableId="12465722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CA"/>
    <w:rsid w:val="00002A1D"/>
    <w:rsid w:val="00005EF9"/>
    <w:rsid w:val="00010791"/>
    <w:rsid w:val="0001118B"/>
    <w:rsid w:val="00012243"/>
    <w:rsid w:val="000154F9"/>
    <w:rsid w:val="00015AE6"/>
    <w:rsid w:val="00020226"/>
    <w:rsid w:val="00024980"/>
    <w:rsid w:val="000254B2"/>
    <w:rsid w:val="00025DE5"/>
    <w:rsid w:val="00030E50"/>
    <w:rsid w:val="000313AB"/>
    <w:rsid w:val="000321DC"/>
    <w:rsid w:val="00037DA6"/>
    <w:rsid w:val="00042843"/>
    <w:rsid w:val="0004374D"/>
    <w:rsid w:val="00050CB1"/>
    <w:rsid w:val="0005385E"/>
    <w:rsid w:val="000602BC"/>
    <w:rsid w:val="00066BAA"/>
    <w:rsid w:val="000712BE"/>
    <w:rsid w:val="0008374E"/>
    <w:rsid w:val="00086885"/>
    <w:rsid w:val="00092E36"/>
    <w:rsid w:val="000936E0"/>
    <w:rsid w:val="000942C9"/>
    <w:rsid w:val="00094858"/>
    <w:rsid w:val="0009491D"/>
    <w:rsid w:val="00097736"/>
    <w:rsid w:val="000A4449"/>
    <w:rsid w:val="000A6136"/>
    <w:rsid w:val="000B0C5B"/>
    <w:rsid w:val="000B0EB1"/>
    <w:rsid w:val="000B36FD"/>
    <w:rsid w:val="000B7230"/>
    <w:rsid w:val="000D0020"/>
    <w:rsid w:val="000D18DD"/>
    <w:rsid w:val="000E09B1"/>
    <w:rsid w:val="000E169D"/>
    <w:rsid w:val="000E5273"/>
    <w:rsid w:val="000F1193"/>
    <w:rsid w:val="000F3916"/>
    <w:rsid w:val="00105E25"/>
    <w:rsid w:val="001105E7"/>
    <w:rsid w:val="001107A2"/>
    <w:rsid w:val="00133091"/>
    <w:rsid w:val="001363F8"/>
    <w:rsid w:val="0014357A"/>
    <w:rsid w:val="00145A97"/>
    <w:rsid w:val="001519AD"/>
    <w:rsid w:val="00157CE2"/>
    <w:rsid w:val="00172FAF"/>
    <w:rsid w:val="00173D24"/>
    <w:rsid w:val="001751F2"/>
    <w:rsid w:val="00175512"/>
    <w:rsid w:val="00180C92"/>
    <w:rsid w:val="00182D7B"/>
    <w:rsid w:val="00191994"/>
    <w:rsid w:val="00194CDB"/>
    <w:rsid w:val="00195791"/>
    <w:rsid w:val="001A17A6"/>
    <w:rsid w:val="001A7DE2"/>
    <w:rsid w:val="001A7FB7"/>
    <w:rsid w:val="001B2193"/>
    <w:rsid w:val="001B66D4"/>
    <w:rsid w:val="001C6E1F"/>
    <w:rsid w:val="001D2559"/>
    <w:rsid w:val="001D276B"/>
    <w:rsid w:val="001F6396"/>
    <w:rsid w:val="001F6F5B"/>
    <w:rsid w:val="002224D5"/>
    <w:rsid w:val="0022319A"/>
    <w:rsid w:val="00225ED1"/>
    <w:rsid w:val="002338B5"/>
    <w:rsid w:val="00244D4A"/>
    <w:rsid w:val="002457A7"/>
    <w:rsid w:val="00250A03"/>
    <w:rsid w:val="002540BE"/>
    <w:rsid w:val="00257EB9"/>
    <w:rsid w:val="00261606"/>
    <w:rsid w:val="00262676"/>
    <w:rsid w:val="00264BF4"/>
    <w:rsid w:val="00265545"/>
    <w:rsid w:val="00277EC7"/>
    <w:rsid w:val="00280151"/>
    <w:rsid w:val="0028106B"/>
    <w:rsid w:val="00285532"/>
    <w:rsid w:val="002857E8"/>
    <w:rsid w:val="0028583C"/>
    <w:rsid w:val="002A0F6B"/>
    <w:rsid w:val="002A286F"/>
    <w:rsid w:val="002B20FA"/>
    <w:rsid w:val="002B4957"/>
    <w:rsid w:val="002B50CA"/>
    <w:rsid w:val="002C0BBD"/>
    <w:rsid w:val="002C223F"/>
    <w:rsid w:val="002C7B5C"/>
    <w:rsid w:val="002D1AD0"/>
    <w:rsid w:val="002D4620"/>
    <w:rsid w:val="002D64F0"/>
    <w:rsid w:val="002D68A9"/>
    <w:rsid w:val="002E53B1"/>
    <w:rsid w:val="002E5643"/>
    <w:rsid w:val="002E617A"/>
    <w:rsid w:val="002E7691"/>
    <w:rsid w:val="002E7914"/>
    <w:rsid w:val="002F0150"/>
    <w:rsid w:val="002F54D1"/>
    <w:rsid w:val="0030366B"/>
    <w:rsid w:val="00304E2A"/>
    <w:rsid w:val="003207AF"/>
    <w:rsid w:val="00323586"/>
    <w:rsid w:val="0032687A"/>
    <w:rsid w:val="003355E2"/>
    <w:rsid w:val="00336CA4"/>
    <w:rsid w:val="0034154B"/>
    <w:rsid w:val="00344BC1"/>
    <w:rsid w:val="00352F66"/>
    <w:rsid w:val="00355265"/>
    <w:rsid w:val="00356D59"/>
    <w:rsid w:val="003573B6"/>
    <w:rsid w:val="003669A6"/>
    <w:rsid w:val="0037104F"/>
    <w:rsid w:val="00371829"/>
    <w:rsid w:val="0037243E"/>
    <w:rsid w:val="0037350E"/>
    <w:rsid w:val="0037415A"/>
    <w:rsid w:val="003842C6"/>
    <w:rsid w:val="00384D00"/>
    <w:rsid w:val="003853D5"/>
    <w:rsid w:val="00393B4D"/>
    <w:rsid w:val="0039408D"/>
    <w:rsid w:val="0039422B"/>
    <w:rsid w:val="003966E2"/>
    <w:rsid w:val="003A09B7"/>
    <w:rsid w:val="003A20A8"/>
    <w:rsid w:val="003B5AB1"/>
    <w:rsid w:val="003C3E39"/>
    <w:rsid w:val="003C572C"/>
    <w:rsid w:val="003C6C5D"/>
    <w:rsid w:val="003D06DA"/>
    <w:rsid w:val="003D06E6"/>
    <w:rsid w:val="003D2E35"/>
    <w:rsid w:val="003D3803"/>
    <w:rsid w:val="003E1EAF"/>
    <w:rsid w:val="003E4106"/>
    <w:rsid w:val="003E727A"/>
    <w:rsid w:val="003E7612"/>
    <w:rsid w:val="003F1C47"/>
    <w:rsid w:val="003F41ED"/>
    <w:rsid w:val="00400E79"/>
    <w:rsid w:val="0040141F"/>
    <w:rsid w:val="0040447D"/>
    <w:rsid w:val="0041531A"/>
    <w:rsid w:val="0041546C"/>
    <w:rsid w:val="0042108A"/>
    <w:rsid w:val="004251EE"/>
    <w:rsid w:val="00434237"/>
    <w:rsid w:val="0043766A"/>
    <w:rsid w:val="00437CDD"/>
    <w:rsid w:val="00453C8A"/>
    <w:rsid w:val="004601E7"/>
    <w:rsid w:val="00462EC0"/>
    <w:rsid w:val="004666AA"/>
    <w:rsid w:val="00473CF0"/>
    <w:rsid w:val="004755A2"/>
    <w:rsid w:val="004827CA"/>
    <w:rsid w:val="004829C7"/>
    <w:rsid w:val="0049405C"/>
    <w:rsid w:val="004A1FFB"/>
    <w:rsid w:val="004A28A0"/>
    <w:rsid w:val="004A4FDB"/>
    <w:rsid w:val="004A53BF"/>
    <w:rsid w:val="004B5BA7"/>
    <w:rsid w:val="004C10DE"/>
    <w:rsid w:val="004C44FA"/>
    <w:rsid w:val="004C56AB"/>
    <w:rsid w:val="004E42E8"/>
    <w:rsid w:val="004F0C70"/>
    <w:rsid w:val="004F2E75"/>
    <w:rsid w:val="004F51EE"/>
    <w:rsid w:val="004F5D4C"/>
    <w:rsid w:val="005006C8"/>
    <w:rsid w:val="00502C67"/>
    <w:rsid w:val="0050350B"/>
    <w:rsid w:val="0050496C"/>
    <w:rsid w:val="005162FC"/>
    <w:rsid w:val="005207C3"/>
    <w:rsid w:val="00520EBC"/>
    <w:rsid w:val="0052425D"/>
    <w:rsid w:val="00530927"/>
    <w:rsid w:val="00533ED8"/>
    <w:rsid w:val="00535086"/>
    <w:rsid w:val="005471A1"/>
    <w:rsid w:val="00550201"/>
    <w:rsid w:val="005515A7"/>
    <w:rsid w:val="005520C6"/>
    <w:rsid w:val="00553397"/>
    <w:rsid w:val="0055704E"/>
    <w:rsid w:val="005570C1"/>
    <w:rsid w:val="00561684"/>
    <w:rsid w:val="0056217D"/>
    <w:rsid w:val="00570965"/>
    <w:rsid w:val="00570A6E"/>
    <w:rsid w:val="00572E08"/>
    <w:rsid w:val="0058213E"/>
    <w:rsid w:val="0058286F"/>
    <w:rsid w:val="00584352"/>
    <w:rsid w:val="0058674A"/>
    <w:rsid w:val="0059048F"/>
    <w:rsid w:val="00592443"/>
    <w:rsid w:val="00595A8C"/>
    <w:rsid w:val="00596CBF"/>
    <w:rsid w:val="005B62C8"/>
    <w:rsid w:val="005C3C5C"/>
    <w:rsid w:val="005C492A"/>
    <w:rsid w:val="005C63F2"/>
    <w:rsid w:val="005D43FF"/>
    <w:rsid w:val="005D4E3B"/>
    <w:rsid w:val="005D599A"/>
    <w:rsid w:val="005D6B49"/>
    <w:rsid w:val="005E1B2A"/>
    <w:rsid w:val="005E27C4"/>
    <w:rsid w:val="005E60AE"/>
    <w:rsid w:val="005F1DCE"/>
    <w:rsid w:val="005F2ACD"/>
    <w:rsid w:val="005F33F8"/>
    <w:rsid w:val="005F39B8"/>
    <w:rsid w:val="005F6633"/>
    <w:rsid w:val="005F6814"/>
    <w:rsid w:val="00601618"/>
    <w:rsid w:val="006034B0"/>
    <w:rsid w:val="0060500E"/>
    <w:rsid w:val="00627A48"/>
    <w:rsid w:val="00635A63"/>
    <w:rsid w:val="00636351"/>
    <w:rsid w:val="00636E9C"/>
    <w:rsid w:val="006374BC"/>
    <w:rsid w:val="00637F2A"/>
    <w:rsid w:val="0064558E"/>
    <w:rsid w:val="00650BD3"/>
    <w:rsid w:val="00653DCA"/>
    <w:rsid w:val="006552D0"/>
    <w:rsid w:val="00656007"/>
    <w:rsid w:val="0066037B"/>
    <w:rsid w:val="00663489"/>
    <w:rsid w:val="00665B54"/>
    <w:rsid w:val="00666844"/>
    <w:rsid w:val="00667C66"/>
    <w:rsid w:val="00670C36"/>
    <w:rsid w:val="006717F6"/>
    <w:rsid w:val="00674C54"/>
    <w:rsid w:val="0067762B"/>
    <w:rsid w:val="006803AA"/>
    <w:rsid w:val="0068183E"/>
    <w:rsid w:val="00682823"/>
    <w:rsid w:val="006830BA"/>
    <w:rsid w:val="00684266"/>
    <w:rsid w:val="00684E14"/>
    <w:rsid w:val="0068510F"/>
    <w:rsid w:val="00691736"/>
    <w:rsid w:val="006A68DF"/>
    <w:rsid w:val="006B0492"/>
    <w:rsid w:val="006B4730"/>
    <w:rsid w:val="006B4B12"/>
    <w:rsid w:val="006C12D8"/>
    <w:rsid w:val="006C1597"/>
    <w:rsid w:val="006C19CD"/>
    <w:rsid w:val="006C4D0E"/>
    <w:rsid w:val="006D0472"/>
    <w:rsid w:val="006D303F"/>
    <w:rsid w:val="006D508B"/>
    <w:rsid w:val="006D54D1"/>
    <w:rsid w:val="006E4CBE"/>
    <w:rsid w:val="006F6DF3"/>
    <w:rsid w:val="00700C16"/>
    <w:rsid w:val="007036AA"/>
    <w:rsid w:val="00710199"/>
    <w:rsid w:val="007137D3"/>
    <w:rsid w:val="007247CA"/>
    <w:rsid w:val="00724E52"/>
    <w:rsid w:val="00730B0A"/>
    <w:rsid w:val="00730C72"/>
    <w:rsid w:val="00733637"/>
    <w:rsid w:val="00735CD2"/>
    <w:rsid w:val="00737F95"/>
    <w:rsid w:val="00740482"/>
    <w:rsid w:val="00740729"/>
    <w:rsid w:val="00746989"/>
    <w:rsid w:val="00755384"/>
    <w:rsid w:val="007571B9"/>
    <w:rsid w:val="00760D94"/>
    <w:rsid w:val="00761804"/>
    <w:rsid w:val="00763907"/>
    <w:rsid w:val="00764299"/>
    <w:rsid w:val="00764E6F"/>
    <w:rsid w:val="007704B1"/>
    <w:rsid w:val="00771029"/>
    <w:rsid w:val="0077140C"/>
    <w:rsid w:val="0077549D"/>
    <w:rsid w:val="00780BDF"/>
    <w:rsid w:val="00795B30"/>
    <w:rsid w:val="00796007"/>
    <w:rsid w:val="007B65A9"/>
    <w:rsid w:val="007C4896"/>
    <w:rsid w:val="007D0445"/>
    <w:rsid w:val="007D27A4"/>
    <w:rsid w:val="007D2E31"/>
    <w:rsid w:val="007D4AB3"/>
    <w:rsid w:val="007D7D4A"/>
    <w:rsid w:val="007E19AE"/>
    <w:rsid w:val="007F0943"/>
    <w:rsid w:val="007F3001"/>
    <w:rsid w:val="007F3083"/>
    <w:rsid w:val="007F5907"/>
    <w:rsid w:val="007F76F1"/>
    <w:rsid w:val="0080181D"/>
    <w:rsid w:val="008024AF"/>
    <w:rsid w:val="00803AE0"/>
    <w:rsid w:val="00805A48"/>
    <w:rsid w:val="00813548"/>
    <w:rsid w:val="00817FAF"/>
    <w:rsid w:val="00820941"/>
    <w:rsid w:val="00821463"/>
    <w:rsid w:val="00821632"/>
    <w:rsid w:val="008223E1"/>
    <w:rsid w:val="00823B05"/>
    <w:rsid w:val="008301AD"/>
    <w:rsid w:val="00832FE1"/>
    <w:rsid w:val="00835270"/>
    <w:rsid w:val="008365FA"/>
    <w:rsid w:val="008371ED"/>
    <w:rsid w:val="00840268"/>
    <w:rsid w:val="00847693"/>
    <w:rsid w:val="008730EB"/>
    <w:rsid w:val="00875495"/>
    <w:rsid w:val="00875EF7"/>
    <w:rsid w:val="008827D1"/>
    <w:rsid w:val="008847DC"/>
    <w:rsid w:val="0088670F"/>
    <w:rsid w:val="00887E95"/>
    <w:rsid w:val="0089217C"/>
    <w:rsid w:val="00892E8E"/>
    <w:rsid w:val="00893F65"/>
    <w:rsid w:val="00897448"/>
    <w:rsid w:val="008A010B"/>
    <w:rsid w:val="008A0446"/>
    <w:rsid w:val="008A1457"/>
    <w:rsid w:val="008A4E54"/>
    <w:rsid w:val="008A56C5"/>
    <w:rsid w:val="008B0F99"/>
    <w:rsid w:val="008B6D48"/>
    <w:rsid w:val="008D2A98"/>
    <w:rsid w:val="008D3F4E"/>
    <w:rsid w:val="008D5D26"/>
    <w:rsid w:val="008D5FB7"/>
    <w:rsid w:val="008D7678"/>
    <w:rsid w:val="008E725F"/>
    <w:rsid w:val="008E77A7"/>
    <w:rsid w:val="008E7B1F"/>
    <w:rsid w:val="008F096A"/>
    <w:rsid w:val="008F1F87"/>
    <w:rsid w:val="00905683"/>
    <w:rsid w:val="00905C68"/>
    <w:rsid w:val="00906ECE"/>
    <w:rsid w:val="009113C8"/>
    <w:rsid w:val="00912AF5"/>
    <w:rsid w:val="00914B44"/>
    <w:rsid w:val="0092049D"/>
    <w:rsid w:val="0092074A"/>
    <w:rsid w:val="00923657"/>
    <w:rsid w:val="009236CA"/>
    <w:rsid w:val="00923CFF"/>
    <w:rsid w:val="009240FF"/>
    <w:rsid w:val="009273A8"/>
    <w:rsid w:val="00933A3F"/>
    <w:rsid w:val="00937D33"/>
    <w:rsid w:val="0094012D"/>
    <w:rsid w:val="00941DA3"/>
    <w:rsid w:val="00944418"/>
    <w:rsid w:val="00944E33"/>
    <w:rsid w:val="00950CD3"/>
    <w:rsid w:val="0095113E"/>
    <w:rsid w:val="00951656"/>
    <w:rsid w:val="009530FF"/>
    <w:rsid w:val="009608E0"/>
    <w:rsid w:val="00977B5E"/>
    <w:rsid w:val="00980778"/>
    <w:rsid w:val="0098384F"/>
    <w:rsid w:val="009842F0"/>
    <w:rsid w:val="00984C6A"/>
    <w:rsid w:val="00992968"/>
    <w:rsid w:val="00994E4B"/>
    <w:rsid w:val="009A4148"/>
    <w:rsid w:val="009A6F06"/>
    <w:rsid w:val="009B64F5"/>
    <w:rsid w:val="009C3BFD"/>
    <w:rsid w:val="009C5769"/>
    <w:rsid w:val="009D1D41"/>
    <w:rsid w:val="009D3E98"/>
    <w:rsid w:val="009D72C4"/>
    <w:rsid w:val="009E0DA7"/>
    <w:rsid w:val="009E3389"/>
    <w:rsid w:val="009E7051"/>
    <w:rsid w:val="009F2D47"/>
    <w:rsid w:val="00A05236"/>
    <w:rsid w:val="00A07158"/>
    <w:rsid w:val="00A07C45"/>
    <w:rsid w:val="00A103EF"/>
    <w:rsid w:val="00A214AA"/>
    <w:rsid w:val="00A244B5"/>
    <w:rsid w:val="00A24754"/>
    <w:rsid w:val="00A250D8"/>
    <w:rsid w:val="00A26F89"/>
    <w:rsid w:val="00A354B4"/>
    <w:rsid w:val="00A35E83"/>
    <w:rsid w:val="00A45EFF"/>
    <w:rsid w:val="00A5370F"/>
    <w:rsid w:val="00A539DB"/>
    <w:rsid w:val="00A55A76"/>
    <w:rsid w:val="00A61362"/>
    <w:rsid w:val="00A619B3"/>
    <w:rsid w:val="00A62B99"/>
    <w:rsid w:val="00A63BAA"/>
    <w:rsid w:val="00A6650E"/>
    <w:rsid w:val="00A73A9D"/>
    <w:rsid w:val="00A76C96"/>
    <w:rsid w:val="00A7756B"/>
    <w:rsid w:val="00A825E3"/>
    <w:rsid w:val="00A82903"/>
    <w:rsid w:val="00A82C91"/>
    <w:rsid w:val="00A96A80"/>
    <w:rsid w:val="00AA14A7"/>
    <w:rsid w:val="00AA7851"/>
    <w:rsid w:val="00AB0FB3"/>
    <w:rsid w:val="00AC2590"/>
    <w:rsid w:val="00AC267A"/>
    <w:rsid w:val="00AD01B5"/>
    <w:rsid w:val="00AD313D"/>
    <w:rsid w:val="00AD3D0D"/>
    <w:rsid w:val="00AD45CE"/>
    <w:rsid w:val="00AD4A33"/>
    <w:rsid w:val="00AD72FD"/>
    <w:rsid w:val="00AE1089"/>
    <w:rsid w:val="00AE3C4D"/>
    <w:rsid w:val="00AE6E46"/>
    <w:rsid w:val="00AF1DD7"/>
    <w:rsid w:val="00AF6D6E"/>
    <w:rsid w:val="00B01C8A"/>
    <w:rsid w:val="00B02B52"/>
    <w:rsid w:val="00B056AC"/>
    <w:rsid w:val="00B10831"/>
    <w:rsid w:val="00B13081"/>
    <w:rsid w:val="00B16B14"/>
    <w:rsid w:val="00B3278A"/>
    <w:rsid w:val="00B332D7"/>
    <w:rsid w:val="00B336EE"/>
    <w:rsid w:val="00B41675"/>
    <w:rsid w:val="00B71A9A"/>
    <w:rsid w:val="00B72005"/>
    <w:rsid w:val="00B74E53"/>
    <w:rsid w:val="00B75E7C"/>
    <w:rsid w:val="00B829FB"/>
    <w:rsid w:val="00B849FE"/>
    <w:rsid w:val="00B86172"/>
    <w:rsid w:val="00B87BB9"/>
    <w:rsid w:val="00B91020"/>
    <w:rsid w:val="00BA22CF"/>
    <w:rsid w:val="00BA58AF"/>
    <w:rsid w:val="00BA618F"/>
    <w:rsid w:val="00BB186D"/>
    <w:rsid w:val="00BB2853"/>
    <w:rsid w:val="00BB7EA1"/>
    <w:rsid w:val="00BC582F"/>
    <w:rsid w:val="00BD1D61"/>
    <w:rsid w:val="00BD230B"/>
    <w:rsid w:val="00BD249E"/>
    <w:rsid w:val="00BD45B6"/>
    <w:rsid w:val="00BF1CED"/>
    <w:rsid w:val="00C02134"/>
    <w:rsid w:val="00C031C0"/>
    <w:rsid w:val="00C033B4"/>
    <w:rsid w:val="00C133AE"/>
    <w:rsid w:val="00C26F49"/>
    <w:rsid w:val="00C301AB"/>
    <w:rsid w:val="00C33EA9"/>
    <w:rsid w:val="00C42DF0"/>
    <w:rsid w:val="00C43B90"/>
    <w:rsid w:val="00C564A1"/>
    <w:rsid w:val="00C56D35"/>
    <w:rsid w:val="00C57905"/>
    <w:rsid w:val="00C62A89"/>
    <w:rsid w:val="00C62DD2"/>
    <w:rsid w:val="00C6500F"/>
    <w:rsid w:val="00C70F60"/>
    <w:rsid w:val="00C73F5A"/>
    <w:rsid w:val="00C74117"/>
    <w:rsid w:val="00C7715F"/>
    <w:rsid w:val="00C842B4"/>
    <w:rsid w:val="00CA592A"/>
    <w:rsid w:val="00CB0161"/>
    <w:rsid w:val="00CB222A"/>
    <w:rsid w:val="00CB3F94"/>
    <w:rsid w:val="00CB5566"/>
    <w:rsid w:val="00CC3972"/>
    <w:rsid w:val="00CC6125"/>
    <w:rsid w:val="00CC6C24"/>
    <w:rsid w:val="00CD7B41"/>
    <w:rsid w:val="00CE0ECF"/>
    <w:rsid w:val="00CE24E7"/>
    <w:rsid w:val="00CE3BEE"/>
    <w:rsid w:val="00CE3C75"/>
    <w:rsid w:val="00CE7771"/>
    <w:rsid w:val="00CF23FE"/>
    <w:rsid w:val="00CF2D3E"/>
    <w:rsid w:val="00D0048D"/>
    <w:rsid w:val="00D0070E"/>
    <w:rsid w:val="00D06CB8"/>
    <w:rsid w:val="00D10D8D"/>
    <w:rsid w:val="00D12A85"/>
    <w:rsid w:val="00D14C03"/>
    <w:rsid w:val="00D150AE"/>
    <w:rsid w:val="00D1612D"/>
    <w:rsid w:val="00D16F4F"/>
    <w:rsid w:val="00D2331D"/>
    <w:rsid w:val="00D235CA"/>
    <w:rsid w:val="00D24B0B"/>
    <w:rsid w:val="00D25BF9"/>
    <w:rsid w:val="00D27074"/>
    <w:rsid w:val="00D3007F"/>
    <w:rsid w:val="00D35E09"/>
    <w:rsid w:val="00D373D7"/>
    <w:rsid w:val="00D413B1"/>
    <w:rsid w:val="00D41D41"/>
    <w:rsid w:val="00D5030B"/>
    <w:rsid w:val="00D5178F"/>
    <w:rsid w:val="00D523FF"/>
    <w:rsid w:val="00D526D7"/>
    <w:rsid w:val="00D60D38"/>
    <w:rsid w:val="00D626AD"/>
    <w:rsid w:val="00D63270"/>
    <w:rsid w:val="00D638C8"/>
    <w:rsid w:val="00D7442C"/>
    <w:rsid w:val="00D83321"/>
    <w:rsid w:val="00D91321"/>
    <w:rsid w:val="00D9235E"/>
    <w:rsid w:val="00D96A06"/>
    <w:rsid w:val="00DA1DDD"/>
    <w:rsid w:val="00DA7CD0"/>
    <w:rsid w:val="00DC2272"/>
    <w:rsid w:val="00DD21D9"/>
    <w:rsid w:val="00DD48F0"/>
    <w:rsid w:val="00DD51B7"/>
    <w:rsid w:val="00E00749"/>
    <w:rsid w:val="00E031C1"/>
    <w:rsid w:val="00E03C71"/>
    <w:rsid w:val="00E105B2"/>
    <w:rsid w:val="00E114A1"/>
    <w:rsid w:val="00E202FA"/>
    <w:rsid w:val="00E2038D"/>
    <w:rsid w:val="00E31011"/>
    <w:rsid w:val="00E346B5"/>
    <w:rsid w:val="00E35531"/>
    <w:rsid w:val="00E35629"/>
    <w:rsid w:val="00E375F8"/>
    <w:rsid w:val="00E376E3"/>
    <w:rsid w:val="00E51CB3"/>
    <w:rsid w:val="00E52172"/>
    <w:rsid w:val="00E522DB"/>
    <w:rsid w:val="00E5378A"/>
    <w:rsid w:val="00E56304"/>
    <w:rsid w:val="00E5677F"/>
    <w:rsid w:val="00E6270A"/>
    <w:rsid w:val="00E65D80"/>
    <w:rsid w:val="00E6697E"/>
    <w:rsid w:val="00E675E5"/>
    <w:rsid w:val="00E67624"/>
    <w:rsid w:val="00E72381"/>
    <w:rsid w:val="00E763FC"/>
    <w:rsid w:val="00E80D81"/>
    <w:rsid w:val="00E81656"/>
    <w:rsid w:val="00E81F14"/>
    <w:rsid w:val="00E851B1"/>
    <w:rsid w:val="00EA3D3B"/>
    <w:rsid w:val="00EB0708"/>
    <w:rsid w:val="00EB153D"/>
    <w:rsid w:val="00EB4CF7"/>
    <w:rsid w:val="00EB7173"/>
    <w:rsid w:val="00EB7AE0"/>
    <w:rsid w:val="00EB7F2E"/>
    <w:rsid w:val="00EC4030"/>
    <w:rsid w:val="00EC67E4"/>
    <w:rsid w:val="00ED04E0"/>
    <w:rsid w:val="00EE0F61"/>
    <w:rsid w:val="00EE2457"/>
    <w:rsid w:val="00EE5529"/>
    <w:rsid w:val="00EF71F0"/>
    <w:rsid w:val="00F1159C"/>
    <w:rsid w:val="00F11A67"/>
    <w:rsid w:val="00F11EBF"/>
    <w:rsid w:val="00F13C74"/>
    <w:rsid w:val="00F14D6F"/>
    <w:rsid w:val="00F162D4"/>
    <w:rsid w:val="00F17B47"/>
    <w:rsid w:val="00F17E7A"/>
    <w:rsid w:val="00F20F98"/>
    <w:rsid w:val="00F2244C"/>
    <w:rsid w:val="00F25BB8"/>
    <w:rsid w:val="00F26BE5"/>
    <w:rsid w:val="00F276E5"/>
    <w:rsid w:val="00F30C9B"/>
    <w:rsid w:val="00F32CDD"/>
    <w:rsid w:val="00F33444"/>
    <w:rsid w:val="00F35D8E"/>
    <w:rsid w:val="00F529AC"/>
    <w:rsid w:val="00F53897"/>
    <w:rsid w:val="00F53E7A"/>
    <w:rsid w:val="00F5507B"/>
    <w:rsid w:val="00F567BD"/>
    <w:rsid w:val="00F5740C"/>
    <w:rsid w:val="00F57B11"/>
    <w:rsid w:val="00F635D2"/>
    <w:rsid w:val="00F71050"/>
    <w:rsid w:val="00F73307"/>
    <w:rsid w:val="00F73C7C"/>
    <w:rsid w:val="00F86BB2"/>
    <w:rsid w:val="00F904F1"/>
    <w:rsid w:val="00F914FD"/>
    <w:rsid w:val="00F94552"/>
    <w:rsid w:val="00F9473F"/>
    <w:rsid w:val="00FA3657"/>
    <w:rsid w:val="00FA515F"/>
    <w:rsid w:val="00FA522B"/>
    <w:rsid w:val="00FC2F9F"/>
    <w:rsid w:val="00FC356C"/>
    <w:rsid w:val="00FC5669"/>
    <w:rsid w:val="00FC6149"/>
    <w:rsid w:val="00FC65A4"/>
    <w:rsid w:val="00FC68AF"/>
    <w:rsid w:val="00FC71AC"/>
    <w:rsid w:val="00FC7A5C"/>
    <w:rsid w:val="00FD5E30"/>
    <w:rsid w:val="00FD67AC"/>
    <w:rsid w:val="00FE004D"/>
    <w:rsid w:val="00FE355F"/>
    <w:rsid w:val="00FF5EE5"/>
    <w:rsid w:val="014CDE7B"/>
    <w:rsid w:val="01A3C4D1"/>
    <w:rsid w:val="02981E5E"/>
    <w:rsid w:val="055F1818"/>
    <w:rsid w:val="07FA69D6"/>
    <w:rsid w:val="0971A8FE"/>
    <w:rsid w:val="0C22DD69"/>
    <w:rsid w:val="0C288C95"/>
    <w:rsid w:val="0E3A887E"/>
    <w:rsid w:val="11C50018"/>
    <w:rsid w:val="11FD70DD"/>
    <w:rsid w:val="1433AF87"/>
    <w:rsid w:val="145F6CCC"/>
    <w:rsid w:val="1587F3FE"/>
    <w:rsid w:val="16EBA009"/>
    <w:rsid w:val="17EF2976"/>
    <w:rsid w:val="183099D6"/>
    <w:rsid w:val="1960E1FD"/>
    <w:rsid w:val="1A3363EB"/>
    <w:rsid w:val="1B66A50C"/>
    <w:rsid w:val="1BF8AD46"/>
    <w:rsid w:val="1C4CE4FC"/>
    <w:rsid w:val="1F5FBCF6"/>
    <w:rsid w:val="1F932BB0"/>
    <w:rsid w:val="23DA9153"/>
    <w:rsid w:val="23DFDF99"/>
    <w:rsid w:val="266DC0E3"/>
    <w:rsid w:val="26AEC5E4"/>
    <w:rsid w:val="2726F625"/>
    <w:rsid w:val="27BB7A4A"/>
    <w:rsid w:val="2865E273"/>
    <w:rsid w:val="2AC0D68F"/>
    <w:rsid w:val="2BD24F4F"/>
    <w:rsid w:val="2C2714E3"/>
    <w:rsid w:val="2D269207"/>
    <w:rsid w:val="2DFD9F6B"/>
    <w:rsid w:val="347236E1"/>
    <w:rsid w:val="35570F5C"/>
    <w:rsid w:val="365B45C0"/>
    <w:rsid w:val="3729E48E"/>
    <w:rsid w:val="377E693E"/>
    <w:rsid w:val="39A4B8A0"/>
    <w:rsid w:val="424232E8"/>
    <w:rsid w:val="424973E4"/>
    <w:rsid w:val="437E07AC"/>
    <w:rsid w:val="45C96BEE"/>
    <w:rsid w:val="4863071B"/>
    <w:rsid w:val="4AD28410"/>
    <w:rsid w:val="4D37928B"/>
    <w:rsid w:val="4E13F9EB"/>
    <w:rsid w:val="50E4CD80"/>
    <w:rsid w:val="5273B444"/>
    <w:rsid w:val="55930DAE"/>
    <w:rsid w:val="56F5239D"/>
    <w:rsid w:val="5832BA69"/>
    <w:rsid w:val="6001E7F7"/>
    <w:rsid w:val="63838B1B"/>
    <w:rsid w:val="68475849"/>
    <w:rsid w:val="69F496A3"/>
    <w:rsid w:val="6F994DCF"/>
    <w:rsid w:val="6F9C7D81"/>
    <w:rsid w:val="7041201C"/>
    <w:rsid w:val="70B92FBF"/>
    <w:rsid w:val="71E85612"/>
    <w:rsid w:val="72411070"/>
    <w:rsid w:val="72515677"/>
    <w:rsid w:val="79BBE345"/>
    <w:rsid w:val="7BAC1959"/>
    <w:rsid w:val="7BBBA526"/>
    <w:rsid w:val="7CADBE1D"/>
    <w:rsid w:val="7DD0814C"/>
    <w:rsid w:val="7F8B9956"/>
    <w:rsid w:val="7FA290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C034"/>
  <w15:chartTrackingRefBased/>
  <w15:docId w15:val="{8BD13823-9D8B-4DEF-8F50-C6B345F7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E2A"/>
    <w:pPr>
      <w:spacing w:after="200" w:line="276" w:lineRule="auto"/>
    </w:pPr>
    <w:rPr>
      <w:rFonts w:ascii="Calibri" w:eastAsia="Times New Roman" w:hAnsi="Calibri" w:cs="Times New Roman"/>
      <w:kern w:val="0"/>
      <w:sz w:val="22"/>
      <w:szCs w:val="22"/>
      <w:lang w:val="es-ES_tradnl"/>
      <w14:ligatures w14:val="none"/>
    </w:rPr>
  </w:style>
  <w:style w:type="paragraph" w:styleId="Ttulo1">
    <w:name w:val="heading 1"/>
    <w:basedOn w:val="Normal"/>
    <w:next w:val="Normal"/>
    <w:link w:val="Ttulo1Car"/>
    <w:uiPriority w:val="9"/>
    <w:qFormat/>
    <w:rsid w:val="00923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23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236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36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36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semiHidden/>
    <w:unhideWhenUsed/>
    <w:qFormat/>
    <w:rsid w:val="009236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36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36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36C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36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36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36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36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36CA"/>
    <w:rPr>
      <w:rFonts w:eastAsiaTheme="majorEastAsia" w:cstheme="majorBidi"/>
      <w:color w:val="0F4761" w:themeColor="accent1" w:themeShade="BF"/>
    </w:rPr>
  </w:style>
  <w:style w:type="character" w:customStyle="1" w:styleId="Ttulo6Car">
    <w:name w:val="Título 6 Car"/>
    <w:basedOn w:val="Fuentedeprrafopredeter"/>
    <w:link w:val="Ttulo6"/>
    <w:semiHidden/>
    <w:rsid w:val="009236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36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36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36CA"/>
    <w:rPr>
      <w:rFonts w:eastAsiaTheme="majorEastAsia" w:cstheme="majorBidi"/>
      <w:color w:val="272727" w:themeColor="text1" w:themeTint="D8"/>
    </w:rPr>
  </w:style>
  <w:style w:type="paragraph" w:styleId="Ttulo">
    <w:name w:val="Title"/>
    <w:basedOn w:val="Normal"/>
    <w:next w:val="Normal"/>
    <w:link w:val="TtuloCar"/>
    <w:uiPriority w:val="10"/>
    <w:qFormat/>
    <w:rsid w:val="00923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36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36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36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36CA"/>
    <w:pPr>
      <w:spacing w:before="160"/>
      <w:jc w:val="center"/>
    </w:pPr>
    <w:rPr>
      <w:i/>
      <w:iCs/>
      <w:color w:val="404040" w:themeColor="text1" w:themeTint="BF"/>
    </w:rPr>
  </w:style>
  <w:style w:type="character" w:customStyle="1" w:styleId="CitaCar">
    <w:name w:val="Cita Car"/>
    <w:basedOn w:val="Fuentedeprrafopredeter"/>
    <w:link w:val="Cita"/>
    <w:uiPriority w:val="29"/>
    <w:rsid w:val="009236CA"/>
    <w:rPr>
      <w:i/>
      <w:iCs/>
      <w:color w:val="404040" w:themeColor="text1" w:themeTint="BF"/>
    </w:rPr>
  </w:style>
  <w:style w:type="paragraph" w:styleId="Prrafodelista">
    <w:name w:val="List Paragraph"/>
    <w:aliases w:val="Delitos,Lista vistosa - Énfasis 11,Colorful List - Accent 11,Ha,List Paragraph1,lp1"/>
    <w:basedOn w:val="Normal"/>
    <w:link w:val="PrrafodelistaCar"/>
    <w:uiPriority w:val="34"/>
    <w:qFormat/>
    <w:rsid w:val="009236CA"/>
    <w:pPr>
      <w:ind w:left="720"/>
      <w:contextualSpacing/>
    </w:pPr>
  </w:style>
  <w:style w:type="character" w:styleId="nfasisintenso">
    <w:name w:val="Intense Emphasis"/>
    <w:basedOn w:val="Fuentedeprrafopredeter"/>
    <w:uiPriority w:val="21"/>
    <w:qFormat/>
    <w:rsid w:val="009236CA"/>
    <w:rPr>
      <w:i/>
      <w:iCs/>
      <w:color w:val="0F4761" w:themeColor="accent1" w:themeShade="BF"/>
    </w:rPr>
  </w:style>
  <w:style w:type="paragraph" w:styleId="Citadestacada">
    <w:name w:val="Intense Quote"/>
    <w:basedOn w:val="Normal"/>
    <w:next w:val="Normal"/>
    <w:link w:val="CitadestacadaCar"/>
    <w:uiPriority w:val="30"/>
    <w:qFormat/>
    <w:rsid w:val="00923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36CA"/>
    <w:rPr>
      <w:i/>
      <w:iCs/>
      <w:color w:val="0F4761" w:themeColor="accent1" w:themeShade="BF"/>
    </w:rPr>
  </w:style>
  <w:style w:type="character" w:styleId="Referenciaintensa">
    <w:name w:val="Intense Reference"/>
    <w:basedOn w:val="Fuentedeprrafopredeter"/>
    <w:uiPriority w:val="32"/>
    <w:qFormat/>
    <w:rsid w:val="009236CA"/>
    <w:rPr>
      <w:b/>
      <w:bCs/>
      <w:smallCaps/>
      <w:color w:val="0F4761" w:themeColor="accent1" w:themeShade="BF"/>
      <w:spacing w:val="5"/>
    </w:rPr>
  </w:style>
  <w:style w:type="paragraph" w:styleId="Encabezado">
    <w:name w:val="header"/>
    <w:basedOn w:val="Normal"/>
    <w:link w:val="EncabezadoCar"/>
    <w:unhideWhenUsed/>
    <w:rsid w:val="009236CA"/>
    <w:pPr>
      <w:tabs>
        <w:tab w:val="center" w:pos="4419"/>
        <w:tab w:val="right" w:pos="8838"/>
      </w:tabs>
      <w:spacing w:after="0" w:line="240" w:lineRule="auto"/>
    </w:pPr>
  </w:style>
  <w:style w:type="character" w:customStyle="1" w:styleId="EncabezadoCar">
    <w:name w:val="Encabezado Car"/>
    <w:basedOn w:val="Fuentedeprrafopredeter"/>
    <w:link w:val="Encabezado"/>
    <w:rsid w:val="009236CA"/>
    <w:rPr>
      <w:rFonts w:ascii="Calibri" w:eastAsia="Times New Roman" w:hAnsi="Calibri" w:cs="Times New Roman"/>
      <w:kern w:val="0"/>
      <w:sz w:val="22"/>
      <w:szCs w:val="22"/>
      <w:lang w:val="es-ES"/>
      <w14:ligatures w14:val="none"/>
    </w:rPr>
  </w:style>
  <w:style w:type="paragraph" w:styleId="Piedepgina">
    <w:name w:val="footer"/>
    <w:basedOn w:val="Normal"/>
    <w:link w:val="PiedepginaCar"/>
    <w:uiPriority w:val="99"/>
    <w:unhideWhenUsed/>
    <w:rsid w:val="009236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36CA"/>
    <w:rPr>
      <w:rFonts w:ascii="Calibri" w:eastAsia="Times New Roman" w:hAnsi="Calibri" w:cs="Times New Roman"/>
      <w:kern w:val="0"/>
      <w:sz w:val="22"/>
      <w:szCs w:val="22"/>
      <w:lang w:val="es-ES"/>
      <w14:ligatures w14:val="none"/>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f1"/>
    <w:link w:val="4GChar"/>
    <w:qFormat/>
    <w:rsid w:val="009236CA"/>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9236CA"/>
    <w:pPr>
      <w:spacing w:after="0" w:line="240" w:lineRule="auto"/>
    </w:pPr>
    <w:rPr>
      <w:rFonts w:ascii="Comic Sans MS" w:hAnsi="Comic Sans MS" w:cs="Comic Sans MS"/>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A Fu Car Car Car2,FA Fu Car Car Car Car Car1,FA Fu Car Car Car Car2,Car Car1"/>
    <w:basedOn w:val="Fuentedeprrafopredeter"/>
    <w:qFormat/>
    <w:rsid w:val="009236CA"/>
    <w:rPr>
      <w:rFonts w:ascii="Calibri" w:eastAsia="Times New Roman" w:hAnsi="Calibri" w:cs="Times New Roman"/>
      <w:kern w:val="0"/>
      <w:sz w:val="20"/>
      <w:szCs w:val="20"/>
      <w:lang w:val="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9236CA"/>
    <w:rPr>
      <w:rFonts w:ascii="Comic Sans MS" w:eastAsia="Times New Roman" w:hAnsi="Comic Sans MS" w:cs="Comic Sans MS"/>
      <w:kern w:val="0"/>
      <w:sz w:val="20"/>
      <w:szCs w:val="20"/>
      <w:lang w:val="es-ES_tradnl"/>
      <w14:ligatures w14:val="none"/>
    </w:rPr>
  </w:style>
  <w:style w:type="paragraph" w:styleId="Textoindependiente">
    <w:name w:val="Body Text"/>
    <w:basedOn w:val="Normal"/>
    <w:link w:val="TextoindependienteCar"/>
    <w:uiPriority w:val="99"/>
    <w:unhideWhenUsed/>
    <w:rsid w:val="009236CA"/>
    <w:pPr>
      <w:spacing w:after="120"/>
    </w:pPr>
  </w:style>
  <w:style w:type="character" w:customStyle="1" w:styleId="TextoindependienteCar">
    <w:name w:val="Texto independiente Car"/>
    <w:basedOn w:val="Fuentedeprrafopredeter"/>
    <w:link w:val="Textoindependiente"/>
    <w:uiPriority w:val="99"/>
    <w:rsid w:val="009236CA"/>
    <w:rPr>
      <w:rFonts w:ascii="Calibri" w:eastAsia="Times New Roman" w:hAnsi="Calibri" w:cs="Times New Roman"/>
      <w:kern w:val="0"/>
      <w:sz w:val="22"/>
      <w:szCs w:val="22"/>
      <w:lang w:val="es-ES"/>
      <w14:ligatures w14:val="none"/>
    </w:rPr>
  </w:style>
  <w:style w:type="paragraph" w:customStyle="1" w:styleId="Textoindependiente21">
    <w:name w:val="Texto independiente 21"/>
    <w:basedOn w:val="Normal"/>
    <w:rsid w:val="009236CA"/>
    <w:pPr>
      <w:spacing w:after="0" w:line="360" w:lineRule="auto"/>
      <w:jc w:val="both"/>
    </w:pPr>
    <w:rPr>
      <w:rFonts w:ascii="Times New Roman" w:hAnsi="Times New Roman"/>
      <w:sz w:val="28"/>
      <w:szCs w:val="20"/>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236CA"/>
    <w:pPr>
      <w:spacing w:after="0" w:line="240" w:lineRule="auto"/>
      <w:jc w:val="both"/>
    </w:pPr>
    <w:rPr>
      <w:rFonts w:asciiTheme="minorHAnsi" w:eastAsiaTheme="minorHAnsi" w:hAnsiTheme="minorHAnsi" w:cstheme="minorBidi"/>
      <w:kern w:val="2"/>
      <w:sz w:val="24"/>
      <w:szCs w:val="24"/>
      <w:vertAlign w:val="superscript"/>
      <w:lang w:val="es-CO"/>
      <w14:ligatures w14:val="standardContextual"/>
    </w:rPr>
  </w:style>
  <w:style w:type="paragraph" w:styleId="Sangradetextonormal">
    <w:name w:val="Body Text Indent"/>
    <w:basedOn w:val="Normal"/>
    <w:link w:val="SangradetextonormalCar"/>
    <w:uiPriority w:val="99"/>
    <w:semiHidden/>
    <w:unhideWhenUsed/>
    <w:rsid w:val="009236CA"/>
    <w:pPr>
      <w:spacing w:after="120"/>
      <w:ind w:left="283"/>
    </w:pPr>
  </w:style>
  <w:style w:type="character" w:customStyle="1" w:styleId="SangradetextonormalCar">
    <w:name w:val="Sangría de texto normal Car"/>
    <w:basedOn w:val="Fuentedeprrafopredeter"/>
    <w:link w:val="Sangradetextonormal"/>
    <w:uiPriority w:val="99"/>
    <w:semiHidden/>
    <w:rsid w:val="009236CA"/>
    <w:rPr>
      <w:rFonts w:ascii="Calibri" w:eastAsia="Times New Roman" w:hAnsi="Calibri" w:cs="Times New Roman"/>
      <w:kern w:val="0"/>
      <w:sz w:val="22"/>
      <w:szCs w:val="22"/>
      <w:lang w:val="es-ES"/>
      <w14:ligatures w14:val="none"/>
    </w:rPr>
  </w:style>
  <w:style w:type="paragraph" w:styleId="Textoindependiente3">
    <w:name w:val="Body Text 3"/>
    <w:basedOn w:val="Normal"/>
    <w:link w:val="Textoindependiente3Car"/>
    <w:uiPriority w:val="99"/>
    <w:semiHidden/>
    <w:unhideWhenUsed/>
    <w:rsid w:val="009236C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236CA"/>
    <w:rPr>
      <w:rFonts w:ascii="Calibri" w:eastAsia="Times New Roman" w:hAnsi="Calibri" w:cs="Times New Roman"/>
      <w:kern w:val="0"/>
      <w:sz w:val="16"/>
      <w:szCs w:val="16"/>
      <w:lang w:val="es-ES"/>
      <w14:ligatures w14:val="none"/>
    </w:rPr>
  </w:style>
  <w:style w:type="character" w:customStyle="1" w:styleId="normaltextrun">
    <w:name w:val="normaltextrun"/>
    <w:basedOn w:val="Fuentedeprrafopredeter"/>
    <w:rsid w:val="009236CA"/>
  </w:style>
  <w:style w:type="character" w:customStyle="1" w:styleId="eop">
    <w:name w:val="eop"/>
    <w:basedOn w:val="Fuentedeprrafopredeter"/>
    <w:rsid w:val="009236CA"/>
  </w:style>
  <w:style w:type="table" w:styleId="Tablaconcuadrcula">
    <w:name w:val="Table Grid"/>
    <w:basedOn w:val="Tablanormal"/>
    <w:uiPriority w:val="39"/>
    <w:rsid w:val="009236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Delitos Car,Lista vistosa - Énfasis 11 Car,Colorful List - Accent 11 Car,Ha Car,List Paragraph1 Car,lp1 Car"/>
    <w:link w:val="Prrafodelista"/>
    <w:uiPriority w:val="34"/>
    <w:locked/>
    <w:rsid w:val="009236CA"/>
  </w:style>
  <w:style w:type="paragraph" w:styleId="NormalWeb">
    <w:name w:val="Normal (Web)"/>
    <w:basedOn w:val="Normal"/>
    <w:uiPriority w:val="99"/>
    <w:unhideWhenUsed/>
    <w:rsid w:val="00893F65"/>
    <w:rPr>
      <w:rFonts w:ascii="Times New Roman" w:hAnsi="Times New Roman"/>
      <w:sz w:val="24"/>
      <w:szCs w:val="24"/>
    </w:rPr>
  </w:style>
  <w:style w:type="paragraph" w:styleId="Revisin">
    <w:name w:val="Revision"/>
    <w:hidden/>
    <w:uiPriority w:val="99"/>
    <w:semiHidden/>
    <w:rsid w:val="00E375F8"/>
    <w:pPr>
      <w:spacing w:after="0" w:line="240" w:lineRule="auto"/>
    </w:pPr>
    <w:rPr>
      <w:rFonts w:ascii="Calibri" w:eastAsia="Times New Roman" w:hAnsi="Calibri" w:cs="Times New Roman"/>
      <w:kern w:val="0"/>
      <w:sz w:val="22"/>
      <w:szCs w:val="22"/>
      <w:lang w:val="es-ES_tradnl"/>
      <w14:ligatures w14:val="none"/>
    </w:rPr>
  </w:style>
  <w:style w:type="character" w:styleId="Refdecomentario">
    <w:name w:val="annotation reference"/>
    <w:basedOn w:val="Fuentedeprrafopredeter"/>
    <w:uiPriority w:val="99"/>
    <w:semiHidden/>
    <w:unhideWhenUsed/>
    <w:rsid w:val="005570C1"/>
    <w:rPr>
      <w:sz w:val="16"/>
      <w:szCs w:val="16"/>
    </w:rPr>
  </w:style>
  <w:style w:type="paragraph" w:styleId="Textocomentario">
    <w:name w:val="annotation text"/>
    <w:basedOn w:val="Normal"/>
    <w:link w:val="TextocomentarioCar"/>
    <w:uiPriority w:val="99"/>
    <w:unhideWhenUsed/>
    <w:rsid w:val="005570C1"/>
    <w:pPr>
      <w:spacing w:line="240" w:lineRule="auto"/>
    </w:pPr>
    <w:rPr>
      <w:sz w:val="20"/>
      <w:szCs w:val="20"/>
    </w:rPr>
  </w:style>
  <w:style w:type="character" w:customStyle="1" w:styleId="TextocomentarioCar">
    <w:name w:val="Texto comentario Car"/>
    <w:basedOn w:val="Fuentedeprrafopredeter"/>
    <w:link w:val="Textocomentario"/>
    <w:uiPriority w:val="99"/>
    <w:rsid w:val="005570C1"/>
    <w:rPr>
      <w:rFonts w:ascii="Calibri" w:eastAsia="Times New Roman" w:hAnsi="Calibri" w:cs="Times New Roman"/>
      <w:kern w:val="0"/>
      <w:sz w:val="20"/>
      <w:szCs w:val="20"/>
      <w:lang w:val="es-ES_tradnl"/>
      <w14:ligatures w14:val="none"/>
    </w:rPr>
  </w:style>
  <w:style w:type="paragraph" w:styleId="Asuntodelcomentario">
    <w:name w:val="annotation subject"/>
    <w:basedOn w:val="Textocomentario"/>
    <w:next w:val="Textocomentario"/>
    <w:link w:val="AsuntodelcomentarioCar"/>
    <w:uiPriority w:val="99"/>
    <w:semiHidden/>
    <w:unhideWhenUsed/>
    <w:rsid w:val="005570C1"/>
    <w:rPr>
      <w:b/>
      <w:bCs/>
    </w:rPr>
  </w:style>
  <w:style w:type="character" w:customStyle="1" w:styleId="AsuntodelcomentarioCar">
    <w:name w:val="Asunto del comentario Car"/>
    <w:basedOn w:val="TextocomentarioCar"/>
    <w:link w:val="Asuntodelcomentario"/>
    <w:uiPriority w:val="99"/>
    <w:semiHidden/>
    <w:rsid w:val="005570C1"/>
    <w:rPr>
      <w:rFonts w:ascii="Calibri" w:eastAsia="Times New Roman" w:hAnsi="Calibri" w:cs="Times New Roman"/>
      <w:b/>
      <w:bCs/>
      <w:kern w:val="0"/>
      <w:sz w:val="20"/>
      <w:szCs w:val="20"/>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A9B6F-24F5-4680-8F07-1C6BC222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42</Pages>
  <Words>8805</Words>
  <Characters>48432</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ahumada zarate</dc:creator>
  <cp:keywords/>
  <dc:description/>
  <cp:lastModifiedBy>Lady Johanna Sanchez Piraneque</cp:lastModifiedBy>
  <cp:revision>8</cp:revision>
  <cp:lastPrinted>2026-07-14T17:45:00Z</cp:lastPrinted>
  <dcterms:created xsi:type="dcterms:W3CDTF">2026-05-14T01:29:00Z</dcterms:created>
  <dcterms:modified xsi:type="dcterms:W3CDTF">2026-07-30T21:27:00Z</dcterms:modified>
</cp:coreProperties>
</file>