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2ACBE" w14:textId="77777777" w:rsidR="00634FB4" w:rsidRDefault="00634FB4" w:rsidP="00634FB4">
      <w:pPr>
        <w:spacing w:after="0" w:line="360" w:lineRule="auto"/>
        <w:ind w:right="51"/>
        <w:jc w:val="center"/>
        <w:rPr>
          <w:rFonts w:ascii="Bookman Old Style" w:hAnsi="Bookman Old Style" w:cs="Arial"/>
          <w:b/>
          <w:sz w:val="28"/>
          <w:szCs w:val="28"/>
          <w:lang w:val="es-MX"/>
        </w:rPr>
      </w:pPr>
    </w:p>
    <w:p w14:paraId="35B9B95C" w14:textId="77777777" w:rsidR="00634FB4" w:rsidRDefault="00634FB4" w:rsidP="00634FB4">
      <w:pPr>
        <w:spacing w:after="0" w:line="360" w:lineRule="auto"/>
        <w:ind w:right="51"/>
        <w:jc w:val="center"/>
        <w:rPr>
          <w:rFonts w:ascii="Bookman Old Style" w:hAnsi="Bookman Old Style" w:cs="Arial"/>
          <w:b/>
          <w:sz w:val="28"/>
          <w:szCs w:val="28"/>
          <w:lang w:val="es-MX"/>
        </w:rPr>
      </w:pPr>
    </w:p>
    <w:p w14:paraId="0F6FCB7D" w14:textId="77777777" w:rsidR="00AF1F0F" w:rsidRDefault="00AF1F0F" w:rsidP="00634FB4">
      <w:pPr>
        <w:spacing w:after="0" w:line="360" w:lineRule="auto"/>
        <w:ind w:right="51"/>
        <w:jc w:val="center"/>
        <w:rPr>
          <w:rFonts w:ascii="Bookman Old Style" w:hAnsi="Bookman Old Style" w:cs="Arial"/>
          <w:b/>
          <w:sz w:val="28"/>
          <w:szCs w:val="28"/>
          <w:lang w:val="es-MX"/>
        </w:rPr>
      </w:pPr>
    </w:p>
    <w:p w14:paraId="3B1CA6F6" w14:textId="77777777" w:rsidR="00634FB4" w:rsidRPr="00AF1F0F" w:rsidRDefault="00634FB4" w:rsidP="00634FB4">
      <w:pPr>
        <w:spacing w:after="0" w:line="360" w:lineRule="auto"/>
        <w:ind w:right="51"/>
        <w:jc w:val="center"/>
        <w:rPr>
          <w:rFonts w:ascii="Bookman Old Style" w:hAnsi="Bookman Old Style" w:cs="Arial"/>
          <w:b/>
          <w:sz w:val="28"/>
          <w:szCs w:val="28"/>
          <w:lang w:val="es-MX"/>
        </w:rPr>
      </w:pPr>
      <w:r w:rsidRPr="00AF1F0F">
        <w:rPr>
          <w:rFonts w:ascii="Bookman Old Style" w:hAnsi="Bookman Old Style" w:cs="Arial"/>
          <w:b/>
          <w:sz w:val="28"/>
          <w:szCs w:val="28"/>
          <w:lang w:val="es-MX"/>
        </w:rPr>
        <w:t>GERSON CHAVERRA CASTRO</w:t>
      </w:r>
    </w:p>
    <w:p w14:paraId="553DF1E0" w14:textId="77777777" w:rsidR="00634FB4" w:rsidRPr="00AF1F0F" w:rsidRDefault="00634FB4" w:rsidP="00634FB4">
      <w:pPr>
        <w:spacing w:after="0" w:line="360" w:lineRule="auto"/>
        <w:ind w:right="51"/>
        <w:jc w:val="center"/>
        <w:rPr>
          <w:rFonts w:ascii="Bookman Old Style" w:hAnsi="Bookman Old Style" w:cs="Arial"/>
          <w:b/>
          <w:sz w:val="28"/>
          <w:szCs w:val="28"/>
          <w:lang w:val="es-MX"/>
        </w:rPr>
      </w:pPr>
      <w:r w:rsidRPr="00AF1F0F">
        <w:rPr>
          <w:rFonts w:ascii="Bookman Old Style" w:hAnsi="Bookman Old Style" w:cs="Arial"/>
          <w:b/>
          <w:sz w:val="28"/>
          <w:szCs w:val="28"/>
          <w:lang w:val="es-MX"/>
        </w:rPr>
        <w:t>Magistrado ponente</w:t>
      </w:r>
    </w:p>
    <w:p w14:paraId="4474F54B" w14:textId="77777777" w:rsidR="00634FB4" w:rsidRPr="00AF1F0F" w:rsidRDefault="00634FB4" w:rsidP="00634FB4">
      <w:pPr>
        <w:spacing w:after="0" w:line="360" w:lineRule="auto"/>
        <w:ind w:right="51"/>
        <w:jc w:val="center"/>
        <w:rPr>
          <w:rFonts w:ascii="Bookman Old Style" w:hAnsi="Bookman Old Style" w:cs="Arial"/>
          <w:b/>
          <w:sz w:val="28"/>
          <w:szCs w:val="28"/>
          <w:lang w:val="es-MX"/>
        </w:rPr>
      </w:pPr>
    </w:p>
    <w:p w14:paraId="55F30CB2" w14:textId="3554B6D8" w:rsidR="00634FB4" w:rsidRPr="00AF1F0F" w:rsidRDefault="00AF1F0F" w:rsidP="00634FB4">
      <w:pPr>
        <w:spacing w:after="0" w:line="360" w:lineRule="auto"/>
        <w:ind w:right="51"/>
        <w:jc w:val="center"/>
        <w:rPr>
          <w:rFonts w:ascii="Bookman Old Style" w:hAnsi="Bookman Old Style" w:cs="Arial"/>
          <w:b/>
          <w:sz w:val="28"/>
          <w:szCs w:val="28"/>
          <w:lang w:val="es-MX"/>
        </w:rPr>
      </w:pPr>
      <w:r w:rsidRPr="00AF1F0F">
        <w:rPr>
          <w:rFonts w:ascii="Bookman Old Style" w:hAnsi="Bookman Old Style" w:cs="Arial"/>
          <w:b/>
          <w:sz w:val="28"/>
          <w:szCs w:val="28"/>
          <w:lang w:val="es-MX"/>
        </w:rPr>
        <w:t>SP777-2026</w:t>
      </w:r>
    </w:p>
    <w:p w14:paraId="683AE952" w14:textId="05B8791B" w:rsidR="00634FB4" w:rsidRPr="00AF1F0F" w:rsidRDefault="00634FB4" w:rsidP="00634FB4">
      <w:pPr>
        <w:spacing w:after="0" w:line="360" w:lineRule="auto"/>
        <w:ind w:right="51"/>
        <w:jc w:val="center"/>
        <w:rPr>
          <w:rFonts w:ascii="Bookman Old Style" w:hAnsi="Bookman Old Style" w:cs="Arial"/>
          <w:b/>
          <w:sz w:val="28"/>
          <w:szCs w:val="28"/>
          <w:lang w:val="es-MX"/>
        </w:rPr>
      </w:pPr>
      <w:r w:rsidRPr="00AF1F0F">
        <w:rPr>
          <w:rFonts w:ascii="Bookman Old Style" w:hAnsi="Bookman Old Style" w:cs="Arial"/>
          <w:b/>
          <w:sz w:val="28"/>
          <w:szCs w:val="28"/>
          <w:lang w:val="es-MX"/>
        </w:rPr>
        <w:t>Radicación N° 6</w:t>
      </w:r>
      <w:r w:rsidR="003C2DE5" w:rsidRPr="00AF1F0F">
        <w:rPr>
          <w:rFonts w:ascii="Bookman Old Style" w:hAnsi="Bookman Old Style" w:cs="Arial"/>
          <w:b/>
          <w:sz w:val="28"/>
          <w:szCs w:val="28"/>
          <w:lang w:val="es-MX"/>
        </w:rPr>
        <w:t>9</w:t>
      </w:r>
      <w:r w:rsidRPr="00AF1F0F">
        <w:rPr>
          <w:rFonts w:ascii="Bookman Old Style" w:hAnsi="Bookman Old Style" w:cs="Arial"/>
          <w:b/>
          <w:sz w:val="28"/>
          <w:szCs w:val="28"/>
          <w:lang w:val="es-MX"/>
        </w:rPr>
        <w:t>04</w:t>
      </w:r>
      <w:r w:rsidR="003C2DE5" w:rsidRPr="00AF1F0F">
        <w:rPr>
          <w:rFonts w:ascii="Bookman Old Style" w:hAnsi="Bookman Old Style" w:cs="Arial"/>
          <w:b/>
          <w:sz w:val="28"/>
          <w:szCs w:val="28"/>
          <w:lang w:val="es-MX"/>
        </w:rPr>
        <w:t>8</w:t>
      </w:r>
    </w:p>
    <w:p w14:paraId="3715D4C4" w14:textId="74E3AD06" w:rsidR="00634FB4" w:rsidRPr="00AF1F0F" w:rsidRDefault="00634FB4" w:rsidP="00634FB4">
      <w:pPr>
        <w:spacing w:after="0" w:line="360" w:lineRule="auto"/>
        <w:ind w:right="51"/>
        <w:jc w:val="center"/>
        <w:rPr>
          <w:rFonts w:ascii="Bookman Old Style" w:hAnsi="Bookman Old Style" w:cs="Arial"/>
          <w:sz w:val="28"/>
          <w:szCs w:val="28"/>
          <w:lang w:val="es-MX"/>
        </w:rPr>
      </w:pPr>
      <w:r w:rsidRPr="00AF1F0F">
        <w:rPr>
          <w:rFonts w:ascii="Bookman Old Style" w:hAnsi="Bookman Old Style" w:cs="Arial"/>
          <w:sz w:val="28"/>
          <w:szCs w:val="28"/>
          <w:lang w:val="es-MX"/>
        </w:rPr>
        <w:t>Acta No.</w:t>
      </w:r>
      <w:r w:rsidR="00AF1F0F" w:rsidRPr="00AF1F0F">
        <w:rPr>
          <w:rFonts w:ascii="Bookman Old Style" w:hAnsi="Bookman Old Style" w:cs="Arial"/>
          <w:sz w:val="28"/>
          <w:szCs w:val="28"/>
          <w:lang w:val="es-MX"/>
        </w:rPr>
        <w:t xml:space="preserve"> 236</w:t>
      </w:r>
    </w:p>
    <w:p w14:paraId="70603D6B" w14:textId="77777777" w:rsidR="00AF1F0F" w:rsidRPr="00AF1F0F" w:rsidRDefault="00AF1F0F" w:rsidP="00634FB4">
      <w:pPr>
        <w:spacing w:after="0" w:line="360" w:lineRule="auto"/>
        <w:ind w:right="51"/>
        <w:jc w:val="center"/>
        <w:rPr>
          <w:rFonts w:ascii="Bookman Old Style" w:hAnsi="Bookman Old Style"/>
          <w:sz w:val="28"/>
          <w:szCs w:val="28"/>
          <w:lang w:val="es-MX"/>
        </w:rPr>
      </w:pPr>
    </w:p>
    <w:p w14:paraId="3E78F948" w14:textId="77777777" w:rsidR="00AF1F0F" w:rsidRPr="00AF1F0F" w:rsidRDefault="00AF1F0F" w:rsidP="00634FB4">
      <w:pPr>
        <w:spacing w:after="0" w:line="360" w:lineRule="auto"/>
        <w:ind w:right="51"/>
        <w:jc w:val="center"/>
        <w:rPr>
          <w:rFonts w:ascii="Bookman Old Style" w:hAnsi="Bookman Old Style"/>
          <w:sz w:val="28"/>
          <w:szCs w:val="28"/>
          <w:lang w:val="es-MX"/>
        </w:rPr>
      </w:pPr>
    </w:p>
    <w:p w14:paraId="5B904535" w14:textId="77777777" w:rsidR="00634FB4" w:rsidRPr="00AF1F0F" w:rsidRDefault="00634FB4" w:rsidP="00634FB4">
      <w:pPr>
        <w:spacing w:after="0" w:line="360" w:lineRule="auto"/>
        <w:ind w:right="51" w:firstLine="709"/>
        <w:jc w:val="center"/>
        <w:rPr>
          <w:rFonts w:ascii="Bookman Old Style" w:hAnsi="Bookman Old Style" w:cs="Arial"/>
          <w:b/>
          <w:sz w:val="28"/>
          <w:szCs w:val="28"/>
          <w:lang w:val="es-MX"/>
        </w:rPr>
      </w:pPr>
    </w:p>
    <w:p w14:paraId="0B3E2AEC" w14:textId="1A09D168" w:rsidR="00634FB4" w:rsidRPr="00AF1F0F" w:rsidRDefault="00634FB4"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t xml:space="preserve">Bogotá D.C., </w:t>
      </w:r>
      <w:r w:rsidR="00AF1F0F" w:rsidRPr="00AF1F0F">
        <w:rPr>
          <w:rFonts w:ascii="Bookman Old Style" w:hAnsi="Bookman Old Style"/>
          <w:sz w:val="28"/>
          <w:szCs w:val="28"/>
          <w:lang w:val="es-MX"/>
        </w:rPr>
        <w:t xml:space="preserve">veintidós (22) de julio </w:t>
      </w:r>
      <w:r w:rsidRPr="00AF1F0F">
        <w:rPr>
          <w:rFonts w:ascii="Bookman Old Style" w:hAnsi="Bookman Old Style"/>
          <w:sz w:val="28"/>
          <w:szCs w:val="28"/>
          <w:lang w:val="es-MX"/>
        </w:rPr>
        <w:t>de dos mil veintiséis (2026).</w:t>
      </w:r>
    </w:p>
    <w:p w14:paraId="6B0144F9" w14:textId="77777777" w:rsidR="00634FB4" w:rsidRPr="00AF1F0F" w:rsidRDefault="00634FB4" w:rsidP="00634FB4">
      <w:pPr>
        <w:spacing w:after="0" w:line="360" w:lineRule="auto"/>
        <w:ind w:right="51" w:firstLine="709"/>
        <w:jc w:val="both"/>
        <w:rPr>
          <w:rFonts w:ascii="Bookman Old Style" w:hAnsi="Bookman Old Style" w:cs="Arial"/>
          <w:b/>
          <w:sz w:val="28"/>
          <w:szCs w:val="28"/>
          <w:lang w:val="es-MX"/>
        </w:rPr>
      </w:pPr>
    </w:p>
    <w:p w14:paraId="2ABFE8DD" w14:textId="77777777" w:rsidR="00634FB4" w:rsidRPr="00AF1F0F" w:rsidRDefault="00634FB4" w:rsidP="00AF1F0F">
      <w:pPr>
        <w:pStyle w:val="Textoindependiente3"/>
        <w:spacing w:after="0" w:line="360" w:lineRule="auto"/>
        <w:ind w:right="51"/>
        <w:jc w:val="center"/>
        <w:rPr>
          <w:rFonts w:ascii="Bookman Old Style" w:hAnsi="Bookman Old Style"/>
          <w:b/>
          <w:sz w:val="28"/>
          <w:szCs w:val="28"/>
        </w:rPr>
      </w:pPr>
      <w:r w:rsidRPr="00AF1F0F">
        <w:rPr>
          <w:rFonts w:ascii="Bookman Old Style" w:hAnsi="Bookman Old Style"/>
          <w:b/>
          <w:sz w:val="28"/>
          <w:szCs w:val="28"/>
        </w:rPr>
        <w:t>ASUNTO:</w:t>
      </w:r>
    </w:p>
    <w:p w14:paraId="1F55290C"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21148522" w14:textId="48E814B5" w:rsidR="00634FB4" w:rsidRPr="00AF1F0F" w:rsidRDefault="00634FB4" w:rsidP="00634FB4">
      <w:pPr>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t>Decide la Sala el recurso de casación interpuesto por l</w:t>
      </w:r>
      <w:r w:rsidR="00C04456" w:rsidRPr="00AF1F0F">
        <w:rPr>
          <w:rFonts w:ascii="Bookman Old Style" w:hAnsi="Bookman Old Style"/>
          <w:bCs/>
          <w:sz w:val="28"/>
          <w:szCs w:val="28"/>
        </w:rPr>
        <w:t>a</w:t>
      </w:r>
      <w:r w:rsidRPr="00AF1F0F">
        <w:rPr>
          <w:rFonts w:ascii="Bookman Old Style" w:hAnsi="Bookman Old Style"/>
          <w:bCs/>
          <w:sz w:val="28"/>
          <w:szCs w:val="28"/>
        </w:rPr>
        <w:t xml:space="preserve"> </w:t>
      </w:r>
      <w:r w:rsidR="00C04456" w:rsidRPr="00AF1F0F">
        <w:rPr>
          <w:rFonts w:ascii="Bookman Old Style" w:hAnsi="Bookman Old Style"/>
          <w:bCs/>
          <w:sz w:val="28"/>
          <w:szCs w:val="28"/>
        </w:rPr>
        <w:t xml:space="preserve">Fiscalía Segunda Delegada ante Jueces Especializados, </w:t>
      </w:r>
      <w:r w:rsidRPr="00AF1F0F">
        <w:rPr>
          <w:rFonts w:ascii="Bookman Old Style" w:hAnsi="Bookman Old Style"/>
          <w:bCs/>
          <w:sz w:val="28"/>
          <w:szCs w:val="28"/>
        </w:rPr>
        <w:t xml:space="preserve">contra la </w:t>
      </w:r>
      <w:r w:rsidR="00C04456" w:rsidRPr="00AF1F0F">
        <w:rPr>
          <w:rFonts w:ascii="Bookman Old Style" w:hAnsi="Bookman Old Style"/>
          <w:bCs/>
          <w:sz w:val="28"/>
          <w:szCs w:val="28"/>
        </w:rPr>
        <w:t xml:space="preserve">providencia </w:t>
      </w:r>
      <w:r w:rsidRPr="00AF1F0F">
        <w:rPr>
          <w:rFonts w:ascii="Bookman Old Style" w:hAnsi="Bookman Old Style"/>
          <w:bCs/>
          <w:sz w:val="28"/>
          <w:szCs w:val="28"/>
        </w:rPr>
        <w:t>del 2</w:t>
      </w:r>
      <w:r w:rsidR="00C04456" w:rsidRPr="00AF1F0F">
        <w:rPr>
          <w:rFonts w:ascii="Bookman Old Style" w:hAnsi="Bookman Old Style"/>
          <w:bCs/>
          <w:sz w:val="28"/>
          <w:szCs w:val="28"/>
        </w:rPr>
        <w:t>7</w:t>
      </w:r>
      <w:r w:rsidRPr="00AF1F0F">
        <w:rPr>
          <w:rFonts w:ascii="Bookman Old Style" w:hAnsi="Bookman Old Style"/>
          <w:bCs/>
          <w:sz w:val="28"/>
          <w:szCs w:val="28"/>
        </w:rPr>
        <w:t xml:space="preserve"> de </w:t>
      </w:r>
      <w:r w:rsidR="00C04456" w:rsidRPr="00AF1F0F">
        <w:rPr>
          <w:rFonts w:ascii="Bookman Old Style" w:hAnsi="Bookman Old Style"/>
          <w:bCs/>
          <w:sz w:val="28"/>
          <w:szCs w:val="28"/>
        </w:rPr>
        <w:t>febrero</w:t>
      </w:r>
      <w:r w:rsidRPr="00AF1F0F">
        <w:rPr>
          <w:rFonts w:ascii="Bookman Old Style" w:hAnsi="Bookman Old Style"/>
          <w:bCs/>
          <w:sz w:val="28"/>
          <w:szCs w:val="28"/>
        </w:rPr>
        <w:t xml:space="preserve"> de 202</w:t>
      </w:r>
      <w:r w:rsidR="00C04456" w:rsidRPr="00AF1F0F">
        <w:rPr>
          <w:rFonts w:ascii="Bookman Old Style" w:hAnsi="Bookman Old Style"/>
          <w:bCs/>
          <w:sz w:val="28"/>
          <w:szCs w:val="28"/>
        </w:rPr>
        <w:t>5</w:t>
      </w:r>
      <w:r w:rsidRPr="00AF1F0F">
        <w:rPr>
          <w:rFonts w:ascii="Bookman Old Style" w:hAnsi="Bookman Old Style"/>
          <w:bCs/>
          <w:sz w:val="28"/>
          <w:szCs w:val="28"/>
        </w:rPr>
        <w:t xml:space="preserve">, por medio de la cual el Tribunal Superior de </w:t>
      </w:r>
      <w:r w:rsidR="00C04456" w:rsidRPr="00AF1F0F">
        <w:rPr>
          <w:rFonts w:ascii="Bookman Old Style" w:hAnsi="Bookman Old Style"/>
          <w:bCs/>
          <w:sz w:val="28"/>
          <w:szCs w:val="28"/>
        </w:rPr>
        <w:t>Arauca revocó</w:t>
      </w:r>
      <w:r w:rsidRPr="00AF1F0F">
        <w:rPr>
          <w:rFonts w:ascii="Bookman Old Style" w:hAnsi="Bookman Old Style"/>
          <w:bCs/>
          <w:sz w:val="28"/>
          <w:szCs w:val="28"/>
        </w:rPr>
        <w:t xml:space="preserve"> la </w:t>
      </w:r>
      <w:r w:rsidR="00C04456" w:rsidRPr="00AF1F0F">
        <w:rPr>
          <w:rFonts w:ascii="Bookman Old Style" w:hAnsi="Bookman Old Style"/>
          <w:bCs/>
          <w:sz w:val="28"/>
          <w:szCs w:val="28"/>
        </w:rPr>
        <w:t xml:space="preserve">sentencia </w:t>
      </w:r>
      <w:r w:rsidRPr="00AF1F0F">
        <w:rPr>
          <w:rFonts w:ascii="Bookman Old Style" w:hAnsi="Bookman Old Style"/>
          <w:bCs/>
          <w:sz w:val="28"/>
          <w:szCs w:val="28"/>
        </w:rPr>
        <w:t>que</w:t>
      </w:r>
      <w:r w:rsidR="00C04456" w:rsidRPr="00AF1F0F">
        <w:rPr>
          <w:rFonts w:ascii="Bookman Old Style" w:hAnsi="Bookman Old Style"/>
          <w:bCs/>
          <w:sz w:val="28"/>
          <w:szCs w:val="28"/>
        </w:rPr>
        <w:t>,</w:t>
      </w:r>
      <w:r w:rsidRPr="00AF1F0F">
        <w:rPr>
          <w:rFonts w:ascii="Bookman Old Style" w:hAnsi="Bookman Old Style"/>
          <w:bCs/>
          <w:sz w:val="28"/>
          <w:szCs w:val="28"/>
        </w:rPr>
        <w:t xml:space="preserve"> en sentido condenatorio</w:t>
      </w:r>
      <w:r w:rsidR="00C04456" w:rsidRPr="00AF1F0F">
        <w:rPr>
          <w:rFonts w:ascii="Bookman Old Style" w:hAnsi="Bookman Old Style"/>
          <w:bCs/>
          <w:sz w:val="28"/>
          <w:szCs w:val="28"/>
        </w:rPr>
        <w:t>,</w:t>
      </w:r>
      <w:r w:rsidRPr="00AF1F0F">
        <w:rPr>
          <w:rFonts w:ascii="Bookman Old Style" w:hAnsi="Bookman Old Style"/>
          <w:bCs/>
          <w:sz w:val="28"/>
          <w:szCs w:val="28"/>
        </w:rPr>
        <w:t xml:space="preserve"> dictó el Juzgado</w:t>
      </w:r>
      <w:r w:rsidR="00242156" w:rsidRPr="00AF1F0F">
        <w:rPr>
          <w:rFonts w:ascii="Bookman Old Style" w:hAnsi="Bookman Old Style"/>
          <w:bCs/>
          <w:sz w:val="28"/>
          <w:szCs w:val="28"/>
        </w:rPr>
        <w:t xml:space="preserve"> Primero</w:t>
      </w:r>
      <w:r w:rsidRPr="00AF1F0F">
        <w:rPr>
          <w:rFonts w:ascii="Bookman Old Style" w:hAnsi="Bookman Old Style"/>
          <w:bCs/>
          <w:sz w:val="28"/>
          <w:szCs w:val="28"/>
        </w:rPr>
        <w:t xml:space="preserve"> Penal del Circuito Especializado de </w:t>
      </w:r>
      <w:r w:rsidR="00C04456" w:rsidRPr="00AF1F0F">
        <w:rPr>
          <w:rFonts w:ascii="Bookman Old Style" w:hAnsi="Bookman Old Style"/>
          <w:bCs/>
          <w:sz w:val="28"/>
          <w:szCs w:val="28"/>
        </w:rPr>
        <w:t>Arauca</w:t>
      </w:r>
      <w:r w:rsidRPr="00AF1F0F">
        <w:rPr>
          <w:rFonts w:ascii="Bookman Old Style" w:hAnsi="Bookman Old Style"/>
          <w:bCs/>
          <w:sz w:val="28"/>
          <w:szCs w:val="28"/>
        </w:rPr>
        <w:t xml:space="preserve">, el </w:t>
      </w:r>
      <w:r w:rsidR="00C04456" w:rsidRPr="00AF1F0F">
        <w:rPr>
          <w:rFonts w:ascii="Bookman Old Style" w:hAnsi="Bookman Old Style"/>
          <w:bCs/>
          <w:sz w:val="28"/>
          <w:szCs w:val="28"/>
        </w:rPr>
        <w:t>4</w:t>
      </w:r>
      <w:r w:rsidRPr="00AF1F0F">
        <w:rPr>
          <w:rFonts w:ascii="Bookman Old Style" w:hAnsi="Bookman Old Style"/>
          <w:bCs/>
          <w:sz w:val="28"/>
          <w:szCs w:val="28"/>
        </w:rPr>
        <w:t xml:space="preserve"> de </w:t>
      </w:r>
      <w:r w:rsidR="00C04456" w:rsidRPr="00AF1F0F">
        <w:rPr>
          <w:rFonts w:ascii="Bookman Old Style" w:hAnsi="Bookman Old Style"/>
          <w:bCs/>
          <w:sz w:val="28"/>
          <w:szCs w:val="28"/>
        </w:rPr>
        <w:t>junio</w:t>
      </w:r>
      <w:r w:rsidRPr="00AF1F0F">
        <w:rPr>
          <w:rFonts w:ascii="Bookman Old Style" w:hAnsi="Bookman Old Style"/>
          <w:bCs/>
          <w:sz w:val="28"/>
          <w:szCs w:val="28"/>
        </w:rPr>
        <w:t xml:space="preserve"> de 202</w:t>
      </w:r>
      <w:r w:rsidR="00C04456" w:rsidRPr="00AF1F0F">
        <w:rPr>
          <w:rFonts w:ascii="Bookman Old Style" w:hAnsi="Bookman Old Style"/>
          <w:bCs/>
          <w:sz w:val="28"/>
          <w:szCs w:val="28"/>
        </w:rPr>
        <w:t>4</w:t>
      </w:r>
      <w:r w:rsidRPr="00AF1F0F">
        <w:rPr>
          <w:rFonts w:ascii="Bookman Old Style" w:hAnsi="Bookman Old Style"/>
          <w:bCs/>
          <w:sz w:val="28"/>
          <w:szCs w:val="28"/>
        </w:rPr>
        <w:t>,</w:t>
      </w:r>
      <w:r w:rsidR="00C04456" w:rsidRPr="00AF1F0F">
        <w:rPr>
          <w:rFonts w:ascii="Bookman Old Style" w:hAnsi="Bookman Old Style"/>
          <w:bCs/>
          <w:sz w:val="28"/>
          <w:szCs w:val="28"/>
        </w:rPr>
        <w:t xml:space="preserve"> contra Harold David de Armas Fontalvo,</w:t>
      </w:r>
      <w:r w:rsidRPr="00AF1F0F">
        <w:rPr>
          <w:rFonts w:ascii="Bookman Old Style" w:hAnsi="Bookman Old Style"/>
          <w:bCs/>
          <w:sz w:val="28"/>
          <w:szCs w:val="28"/>
        </w:rPr>
        <w:t xml:space="preserve"> por el punible de fabricación, tráfico o porte de estupefacientes</w:t>
      </w:r>
      <w:r w:rsidR="00C04456" w:rsidRPr="00AF1F0F">
        <w:rPr>
          <w:rFonts w:ascii="Bookman Old Style" w:hAnsi="Bookman Old Style"/>
          <w:bCs/>
          <w:sz w:val="28"/>
          <w:szCs w:val="28"/>
        </w:rPr>
        <w:t xml:space="preserve"> y</w:t>
      </w:r>
      <w:r w:rsidR="0054259D">
        <w:rPr>
          <w:rFonts w:ascii="Bookman Old Style" w:hAnsi="Bookman Old Style"/>
          <w:bCs/>
          <w:sz w:val="28"/>
          <w:szCs w:val="28"/>
        </w:rPr>
        <w:t>,</w:t>
      </w:r>
      <w:r w:rsidR="00C04456" w:rsidRPr="00AF1F0F">
        <w:rPr>
          <w:rFonts w:ascii="Bookman Old Style" w:hAnsi="Bookman Old Style"/>
          <w:bCs/>
          <w:sz w:val="28"/>
          <w:szCs w:val="28"/>
        </w:rPr>
        <w:t xml:space="preserve"> en su lugar</w:t>
      </w:r>
      <w:r w:rsidR="0054259D">
        <w:rPr>
          <w:rFonts w:ascii="Bookman Old Style" w:hAnsi="Bookman Old Style"/>
          <w:bCs/>
          <w:sz w:val="28"/>
          <w:szCs w:val="28"/>
        </w:rPr>
        <w:t>,</w:t>
      </w:r>
      <w:r w:rsidR="00C04456" w:rsidRPr="00AF1F0F">
        <w:rPr>
          <w:rFonts w:ascii="Bookman Old Style" w:hAnsi="Bookman Old Style"/>
          <w:bCs/>
          <w:sz w:val="28"/>
          <w:szCs w:val="28"/>
        </w:rPr>
        <w:t xml:space="preserve"> declaró extinguida, por prescripción, la acción penal</w:t>
      </w:r>
      <w:r w:rsidRPr="00AF1F0F">
        <w:rPr>
          <w:rFonts w:ascii="Bookman Old Style" w:hAnsi="Bookman Old Style"/>
          <w:bCs/>
          <w:sz w:val="28"/>
          <w:szCs w:val="28"/>
        </w:rPr>
        <w:t xml:space="preserve">. </w:t>
      </w:r>
    </w:p>
    <w:p w14:paraId="6F7FFDC5" w14:textId="77777777" w:rsidR="00634FB4" w:rsidRPr="00AF1F0F" w:rsidRDefault="00634FB4" w:rsidP="00634FB4">
      <w:pPr>
        <w:spacing w:after="0" w:line="360" w:lineRule="auto"/>
        <w:ind w:right="51"/>
        <w:jc w:val="center"/>
        <w:rPr>
          <w:rFonts w:ascii="Bookman Old Style" w:hAnsi="Bookman Old Style"/>
          <w:b/>
          <w:sz w:val="28"/>
          <w:szCs w:val="28"/>
        </w:rPr>
      </w:pPr>
      <w:r w:rsidRPr="00AF1F0F">
        <w:rPr>
          <w:rFonts w:ascii="Bookman Old Style" w:hAnsi="Bookman Old Style"/>
          <w:b/>
          <w:sz w:val="28"/>
          <w:szCs w:val="28"/>
        </w:rPr>
        <w:lastRenderedPageBreak/>
        <w:t>HECHOS:</w:t>
      </w:r>
    </w:p>
    <w:p w14:paraId="1C376B2D" w14:textId="77777777" w:rsidR="00634FB4" w:rsidRPr="00AF1F0F" w:rsidRDefault="00634FB4" w:rsidP="00634FB4">
      <w:pPr>
        <w:pStyle w:val="Sinespaciado"/>
        <w:spacing w:line="276" w:lineRule="auto"/>
        <w:ind w:right="51"/>
      </w:pPr>
    </w:p>
    <w:p w14:paraId="0A22AD9C" w14:textId="267DAF94" w:rsidR="00634FB4" w:rsidRPr="00AF1F0F" w:rsidRDefault="00C04456" w:rsidP="00242156">
      <w:pPr>
        <w:spacing w:after="0" w:line="360" w:lineRule="auto"/>
        <w:ind w:right="51" w:firstLine="708"/>
        <w:jc w:val="both"/>
        <w:rPr>
          <w:rFonts w:ascii="Bookman Old Style" w:hAnsi="Bookman Old Style"/>
          <w:bCs/>
          <w:sz w:val="28"/>
          <w:szCs w:val="28"/>
        </w:rPr>
      </w:pPr>
      <w:r w:rsidRPr="00AF1F0F">
        <w:rPr>
          <w:rFonts w:ascii="Bookman Old Style" w:hAnsi="Bookman Old Style"/>
          <w:bCs/>
          <w:sz w:val="28"/>
          <w:szCs w:val="28"/>
        </w:rPr>
        <w:t>Obtenida información acerca de que Harold David de Armas Fontalvo</w:t>
      </w:r>
      <w:r w:rsidR="00242156" w:rsidRPr="00AF1F0F">
        <w:rPr>
          <w:rFonts w:ascii="Bookman Old Style" w:hAnsi="Bookman Old Style"/>
          <w:bCs/>
          <w:sz w:val="28"/>
          <w:szCs w:val="28"/>
        </w:rPr>
        <w:t xml:space="preserve">, </w:t>
      </w:r>
      <w:r w:rsidR="00793129" w:rsidRPr="00AF1F0F">
        <w:rPr>
          <w:rFonts w:ascii="Bookman Old Style" w:hAnsi="Bookman Old Style"/>
          <w:bCs/>
          <w:sz w:val="28"/>
          <w:szCs w:val="28"/>
        </w:rPr>
        <w:t xml:space="preserve">miembro de la </w:t>
      </w:r>
      <w:r w:rsidR="0079064C" w:rsidRPr="00AF1F0F">
        <w:rPr>
          <w:rFonts w:ascii="Bookman Old Style" w:hAnsi="Bookman Old Style"/>
          <w:bCs/>
          <w:sz w:val="28"/>
          <w:szCs w:val="28"/>
        </w:rPr>
        <w:t xml:space="preserve">SIJIN de la </w:t>
      </w:r>
      <w:r w:rsidR="00793129" w:rsidRPr="00AF1F0F">
        <w:rPr>
          <w:rFonts w:ascii="Bookman Old Style" w:hAnsi="Bookman Old Style"/>
          <w:bCs/>
          <w:sz w:val="28"/>
          <w:szCs w:val="28"/>
        </w:rPr>
        <w:t xml:space="preserve">Policía Nacional, </w:t>
      </w:r>
      <w:r w:rsidR="00242156" w:rsidRPr="00AF1F0F">
        <w:rPr>
          <w:rFonts w:ascii="Bookman Old Style" w:hAnsi="Bookman Old Style"/>
          <w:bCs/>
          <w:sz w:val="28"/>
          <w:szCs w:val="28"/>
        </w:rPr>
        <w:t xml:space="preserve">en Arauca, </w:t>
      </w:r>
      <w:r w:rsidR="008525C4" w:rsidRPr="00AF1F0F">
        <w:rPr>
          <w:rFonts w:ascii="Bookman Old Style" w:hAnsi="Bookman Old Style"/>
          <w:bCs/>
          <w:sz w:val="28"/>
          <w:szCs w:val="28"/>
        </w:rPr>
        <w:t xml:space="preserve">hacía parte de un grupo de agentes que </w:t>
      </w:r>
      <w:r w:rsidR="00242156" w:rsidRPr="00AF1F0F">
        <w:rPr>
          <w:rFonts w:ascii="Bookman Old Style" w:hAnsi="Bookman Old Style"/>
          <w:bCs/>
          <w:sz w:val="28"/>
          <w:szCs w:val="28"/>
        </w:rPr>
        <w:t>traficaba</w:t>
      </w:r>
      <w:r w:rsidR="0079064C" w:rsidRPr="00AF1F0F">
        <w:rPr>
          <w:rFonts w:ascii="Bookman Old Style" w:hAnsi="Bookman Old Style"/>
          <w:bCs/>
          <w:sz w:val="28"/>
          <w:szCs w:val="28"/>
        </w:rPr>
        <w:t xml:space="preserve"> armas y</w:t>
      </w:r>
      <w:r w:rsidR="00242156" w:rsidRPr="00AF1F0F">
        <w:rPr>
          <w:rFonts w:ascii="Bookman Old Style" w:hAnsi="Bookman Old Style"/>
          <w:bCs/>
          <w:sz w:val="28"/>
          <w:szCs w:val="28"/>
        </w:rPr>
        <w:t xml:space="preserve"> estupefacientes</w:t>
      </w:r>
      <w:r w:rsidR="008525C4" w:rsidRPr="00AF1F0F">
        <w:rPr>
          <w:rFonts w:ascii="Bookman Old Style" w:hAnsi="Bookman Old Style"/>
          <w:bCs/>
          <w:sz w:val="28"/>
          <w:szCs w:val="28"/>
        </w:rPr>
        <w:t xml:space="preserve"> incautados en operativos policiales</w:t>
      </w:r>
      <w:r w:rsidR="00242156" w:rsidRPr="00AF1F0F">
        <w:rPr>
          <w:rFonts w:ascii="Bookman Old Style" w:hAnsi="Bookman Old Style"/>
          <w:bCs/>
          <w:sz w:val="28"/>
          <w:szCs w:val="28"/>
        </w:rPr>
        <w:t xml:space="preserve">, </w:t>
      </w:r>
      <w:r w:rsidR="0079064C" w:rsidRPr="00AF1F0F">
        <w:rPr>
          <w:rFonts w:ascii="Bookman Old Style" w:hAnsi="Bookman Old Style"/>
          <w:bCs/>
          <w:sz w:val="28"/>
          <w:szCs w:val="28"/>
        </w:rPr>
        <w:t>se realizó un</w:t>
      </w:r>
      <w:r w:rsidR="008525C4" w:rsidRPr="00AF1F0F">
        <w:rPr>
          <w:rFonts w:ascii="Bookman Old Style" w:hAnsi="Bookman Old Style"/>
          <w:bCs/>
          <w:sz w:val="28"/>
          <w:szCs w:val="28"/>
        </w:rPr>
        <w:t>o</w:t>
      </w:r>
      <w:r w:rsidR="0079064C" w:rsidRPr="00AF1F0F">
        <w:rPr>
          <w:rFonts w:ascii="Bookman Old Style" w:hAnsi="Bookman Old Style"/>
          <w:bCs/>
          <w:sz w:val="28"/>
          <w:szCs w:val="28"/>
        </w:rPr>
        <w:t xml:space="preserve"> a través de agente encubierto quien, </w:t>
      </w:r>
      <w:r w:rsidR="00242156" w:rsidRPr="00AF1F0F">
        <w:rPr>
          <w:rFonts w:ascii="Bookman Old Style" w:hAnsi="Bookman Old Style"/>
          <w:bCs/>
          <w:sz w:val="28"/>
          <w:szCs w:val="28"/>
        </w:rPr>
        <w:t>e</w:t>
      </w:r>
      <w:r w:rsidR="00634FB4" w:rsidRPr="00AF1F0F">
        <w:rPr>
          <w:rFonts w:ascii="Bookman Old Style" w:hAnsi="Bookman Old Style"/>
          <w:bCs/>
          <w:sz w:val="28"/>
          <w:szCs w:val="28"/>
        </w:rPr>
        <w:t>l 2</w:t>
      </w:r>
      <w:r w:rsidR="00242156" w:rsidRPr="00AF1F0F">
        <w:rPr>
          <w:rFonts w:ascii="Bookman Old Style" w:hAnsi="Bookman Old Style"/>
          <w:bCs/>
          <w:sz w:val="28"/>
          <w:szCs w:val="28"/>
        </w:rPr>
        <w:t>0</w:t>
      </w:r>
      <w:r w:rsidR="00634FB4" w:rsidRPr="00AF1F0F">
        <w:rPr>
          <w:rFonts w:ascii="Bookman Old Style" w:hAnsi="Bookman Old Style"/>
          <w:bCs/>
          <w:sz w:val="28"/>
          <w:szCs w:val="28"/>
        </w:rPr>
        <w:t xml:space="preserve"> de octubre de 201</w:t>
      </w:r>
      <w:r w:rsidR="00242156" w:rsidRPr="00AF1F0F">
        <w:rPr>
          <w:rFonts w:ascii="Bookman Old Style" w:hAnsi="Bookman Old Style"/>
          <w:bCs/>
          <w:sz w:val="28"/>
          <w:szCs w:val="28"/>
        </w:rPr>
        <w:t>7</w:t>
      </w:r>
      <w:r w:rsidR="00634FB4" w:rsidRPr="00AF1F0F">
        <w:rPr>
          <w:rFonts w:ascii="Bookman Old Style" w:hAnsi="Bookman Old Style"/>
          <w:bCs/>
          <w:sz w:val="28"/>
          <w:szCs w:val="28"/>
        </w:rPr>
        <w:t xml:space="preserve">, </w:t>
      </w:r>
      <w:r w:rsidR="00242156" w:rsidRPr="00AF1F0F">
        <w:rPr>
          <w:rFonts w:ascii="Bookman Old Style" w:hAnsi="Bookman Old Style"/>
          <w:bCs/>
          <w:sz w:val="28"/>
          <w:szCs w:val="28"/>
        </w:rPr>
        <w:t>le compró</w:t>
      </w:r>
      <w:r w:rsidR="008525C4" w:rsidRPr="00AF1F0F">
        <w:rPr>
          <w:rFonts w:ascii="Bookman Old Style" w:hAnsi="Bookman Old Style"/>
          <w:bCs/>
          <w:sz w:val="28"/>
          <w:szCs w:val="28"/>
        </w:rPr>
        <w:t xml:space="preserve"> controladamente</w:t>
      </w:r>
      <w:r w:rsidR="00242156" w:rsidRPr="00AF1F0F">
        <w:rPr>
          <w:rFonts w:ascii="Bookman Old Style" w:hAnsi="Bookman Old Style"/>
          <w:bCs/>
          <w:sz w:val="28"/>
          <w:szCs w:val="28"/>
        </w:rPr>
        <w:t xml:space="preserve"> 501.5 gramos de marihuana en el Barrio Siete de Agosto de dicho municipio.</w:t>
      </w:r>
      <w:r w:rsidR="00634FB4" w:rsidRPr="00AF1F0F">
        <w:rPr>
          <w:rFonts w:ascii="Bookman Old Style" w:hAnsi="Bookman Old Style"/>
          <w:bCs/>
          <w:sz w:val="28"/>
          <w:szCs w:val="28"/>
        </w:rPr>
        <w:t xml:space="preserve"> </w:t>
      </w:r>
    </w:p>
    <w:p w14:paraId="6F6AEF05" w14:textId="77777777" w:rsidR="00634FB4" w:rsidRPr="00AF1F0F" w:rsidRDefault="00634FB4" w:rsidP="00634FB4">
      <w:pPr>
        <w:spacing w:after="0"/>
        <w:ind w:right="51" w:firstLine="708"/>
        <w:jc w:val="both"/>
        <w:rPr>
          <w:rFonts w:ascii="Bookman Old Style" w:hAnsi="Bookman Old Style"/>
          <w:bCs/>
          <w:sz w:val="28"/>
          <w:szCs w:val="28"/>
        </w:rPr>
      </w:pPr>
      <w:r w:rsidRPr="00AF1F0F">
        <w:rPr>
          <w:rFonts w:ascii="Bookman Old Style" w:hAnsi="Bookman Old Style"/>
          <w:bCs/>
          <w:sz w:val="28"/>
          <w:szCs w:val="28"/>
        </w:rPr>
        <w:t xml:space="preserve"> </w:t>
      </w:r>
    </w:p>
    <w:p w14:paraId="7460793E" w14:textId="77777777" w:rsidR="00634FB4" w:rsidRPr="00AF1F0F" w:rsidRDefault="00634FB4" w:rsidP="00634FB4">
      <w:pPr>
        <w:spacing w:after="0" w:line="360" w:lineRule="auto"/>
        <w:ind w:right="51"/>
        <w:jc w:val="center"/>
        <w:rPr>
          <w:rFonts w:ascii="Bookman Old Style" w:hAnsi="Bookman Old Style"/>
          <w:b/>
          <w:sz w:val="28"/>
          <w:szCs w:val="28"/>
        </w:rPr>
      </w:pPr>
      <w:r w:rsidRPr="00AF1F0F">
        <w:rPr>
          <w:rFonts w:ascii="Bookman Old Style" w:hAnsi="Bookman Old Style"/>
          <w:b/>
          <w:sz w:val="28"/>
          <w:szCs w:val="28"/>
        </w:rPr>
        <w:t>ANTECEDENTES:</w:t>
      </w:r>
    </w:p>
    <w:p w14:paraId="3418250D" w14:textId="77777777" w:rsidR="00634FB4" w:rsidRPr="00AF1F0F" w:rsidRDefault="00634FB4" w:rsidP="00634FB4">
      <w:pPr>
        <w:pStyle w:val="Sinespaciado"/>
        <w:spacing w:line="276" w:lineRule="auto"/>
        <w:ind w:right="51"/>
      </w:pPr>
    </w:p>
    <w:p w14:paraId="1D52425C" w14:textId="79E5A7EF" w:rsidR="00634FB4" w:rsidRPr="00AF1F0F" w:rsidRDefault="00634FB4" w:rsidP="00634FB4">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 xml:space="preserve">1. </w:t>
      </w:r>
      <w:r w:rsidR="00242156" w:rsidRPr="00AF1F0F">
        <w:rPr>
          <w:rFonts w:ascii="Bookman Old Style" w:hAnsi="Bookman Old Style" w:cs="Arial"/>
          <w:sz w:val="28"/>
          <w:szCs w:val="28"/>
        </w:rPr>
        <w:t>El 24 de octubre de 2018 se le formuló imputación a Harold David de Armas Fontalvo como coautor de los delitos de fabricación, tráfico y porte de armas y municiones de uso restringido y tráfico, fabricación o porte de estupefacientes, mismos por los que se le acusó en audiencia del 31 de mayo de 2019</w:t>
      </w:r>
      <w:r w:rsidRPr="00AF1F0F">
        <w:rPr>
          <w:rFonts w:ascii="Bookman Old Style" w:hAnsi="Bookman Old Style" w:cs="Arial"/>
          <w:sz w:val="28"/>
          <w:szCs w:val="28"/>
        </w:rPr>
        <w:t>.</w:t>
      </w:r>
    </w:p>
    <w:p w14:paraId="77C886B4" w14:textId="77777777" w:rsidR="00634FB4" w:rsidRPr="00AF1F0F" w:rsidRDefault="00634FB4" w:rsidP="00634FB4">
      <w:pPr>
        <w:pStyle w:val="Textoindependiente2"/>
        <w:spacing w:after="0" w:line="276" w:lineRule="auto"/>
        <w:ind w:right="51" w:firstLine="709"/>
        <w:jc w:val="both"/>
        <w:rPr>
          <w:rFonts w:ascii="Bookman Old Style" w:hAnsi="Bookman Old Style" w:cs="Arial"/>
          <w:sz w:val="28"/>
          <w:szCs w:val="28"/>
        </w:rPr>
      </w:pPr>
    </w:p>
    <w:p w14:paraId="62E4ABF0" w14:textId="30EAC910" w:rsidR="00634FB4" w:rsidRPr="00AF1F0F" w:rsidRDefault="00634FB4" w:rsidP="00634FB4">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 xml:space="preserve">2. </w:t>
      </w:r>
      <w:r w:rsidR="00F1005E" w:rsidRPr="00AF1F0F">
        <w:rPr>
          <w:rFonts w:ascii="Bookman Old Style" w:hAnsi="Bookman Old Style" w:cs="Arial"/>
          <w:sz w:val="28"/>
          <w:szCs w:val="28"/>
        </w:rPr>
        <w:t>Tras celebrarse las correspondientes audiencias preparatoria y de juicio oral, el 4 de junio de 2024, el Juzgado Primero Penal del Circuito Especializado de Arauca profirió sentencia</w:t>
      </w:r>
      <w:r w:rsidR="00D07A4A" w:rsidRPr="00AF1F0F">
        <w:rPr>
          <w:rFonts w:ascii="Bookman Old Style" w:hAnsi="Bookman Old Style" w:cs="Arial"/>
          <w:sz w:val="28"/>
          <w:szCs w:val="28"/>
        </w:rPr>
        <w:t xml:space="preserve"> para absolver al acusado por el delito de fabricación, tráfico y porte de armas de uso restringido y condenarlo, como responsable del punible de tráfico, fabricación o porte de estupefacientes</w:t>
      </w:r>
      <w:r w:rsidR="00F158E5" w:rsidRPr="00AF1F0F">
        <w:rPr>
          <w:rFonts w:ascii="Bookman Old Style" w:hAnsi="Bookman Old Style" w:cs="Arial"/>
          <w:sz w:val="28"/>
          <w:szCs w:val="28"/>
        </w:rPr>
        <w:t>,</w:t>
      </w:r>
      <w:r w:rsidR="00D07A4A" w:rsidRPr="00AF1F0F">
        <w:rPr>
          <w:rFonts w:ascii="Bookman Old Style" w:hAnsi="Bookman Old Style" w:cs="Arial"/>
          <w:sz w:val="28"/>
          <w:szCs w:val="28"/>
        </w:rPr>
        <w:t xml:space="preserve"> a la pena de prisión de 75 meses, inhabilidad para ejercer derechos y funciones públicas por lapso igual y multa equivalente a 39 smml.</w:t>
      </w:r>
    </w:p>
    <w:p w14:paraId="79A4FC76" w14:textId="77777777" w:rsidR="00634FB4" w:rsidRPr="00AF1F0F" w:rsidRDefault="00634FB4" w:rsidP="00634FB4">
      <w:pPr>
        <w:pStyle w:val="Textoindependiente2"/>
        <w:spacing w:after="0" w:line="276"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 xml:space="preserve"> </w:t>
      </w:r>
    </w:p>
    <w:p w14:paraId="5F2C6565" w14:textId="0A55DBCC" w:rsidR="00634FB4" w:rsidRPr="00AF1F0F" w:rsidRDefault="00634FB4" w:rsidP="00F158E5">
      <w:pPr>
        <w:pStyle w:val="Textoindependiente2"/>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lastRenderedPageBreak/>
        <w:t xml:space="preserve">3. Dado el recurso de apelación que contra esa </w:t>
      </w:r>
      <w:r w:rsidR="00F158E5" w:rsidRPr="00AF1F0F">
        <w:rPr>
          <w:rFonts w:ascii="Bookman Old Style" w:hAnsi="Bookman Old Style"/>
          <w:bCs/>
          <w:sz w:val="28"/>
          <w:szCs w:val="28"/>
        </w:rPr>
        <w:t>sentencia</w:t>
      </w:r>
      <w:r w:rsidRPr="00AF1F0F">
        <w:rPr>
          <w:rFonts w:ascii="Bookman Old Style" w:hAnsi="Bookman Old Style"/>
          <w:bCs/>
          <w:sz w:val="28"/>
          <w:szCs w:val="28"/>
        </w:rPr>
        <w:t xml:space="preserve"> interpusiera la defensa de</w:t>
      </w:r>
      <w:r w:rsidR="00F158E5" w:rsidRPr="00AF1F0F">
        <w:rPr>
          <w:rFonts w:ascii="Bookman Old Style" w:hAnsi="Bookman Old Style"/>
          <w:bCs/>
          <w:sz w:val="28"/>
          <w:szCs w:val="28"/>
        </w:rPr>
        <w:t>l procesado</w:t>
      </w:r>
      <w:r w:rsidRPr="00AF1F0F">
        <w:rPr>
          <w:rFonts w:ascii="Bookman Old Style" w:hAnsi="Bookman Old Style"/>
          <w:bCs/>
          <w:sz w:val="28"/>
          <w:szCs w:val="28"/>
        </w:rPr>
        <w:t xml:space="preserve">, el Tribunal Superior de </w:t>
      </w:r>
      <w:r w:rsidR="00F158E5" w:rsidRPr="00AF1F0F">
        <w:rPr>
          <w:rFonts w:ascii="Bookman Old Style" w:hAnsi="Bookman Old Style"/>
          <w:bCs/>
          <w:sz w:val="28"/>
          <w:szCs w:val="28"/>
        </w:rPr>
        <w:t>Arauca</w:t>
      </w:r>
      <w:r w:rsidRPr="00AF1F0F">
        <w:rPr>
          <w:rFonts w:ascii="Bookman Old Style" w:hAnsi="Bookman Old Style"/>
          <w:bCs/>
          <w:sz w:val="28"/>
          <w:szCs w:val="28"/>
        </w:rPr>
        <w:t xml:space="preserve"> d</w:t>
      </w:r>
      <w:r w:rsidR="00F158E5" w:rsidRPr="00AF1F0F">
        <w:rPr>
          <w:rFonts w:ascii="Bookman Old Style" w:hAnsi="Bookman Old Style"/>
          <w:bCs/>
          <w:sz w:val="28"/>
          <w:szCs w:val="28"/>
        </w:rPr>
        <w:t>ecidió,</w:t>
      </w:r>
      <w:r w:rsidRPr="00AF1F0F">
        <w:rPr>
          <w:rFonts w:ascii="Bookman Old Style" w:hAnsi="Bookman Old Style"/>
          <w:bCs/>
          <w:sz w:val="28"/>
          <w:szCs w:val="28"/>
        </w:rPr>
        <w:t xml:space="preserve"> el 2</w:t>
      </w:r>
      <w:r w:rsidR="00F158E5" w:rsidRPr="00AF1F0F">
        <w:rPr>
          <w:rFonts w:ascii="Bookman Old Style" w:hAnsi="Bookman Old Style"/>
          <w:bCs/>
          <w:sz w:val="28"/>
          <w:szCs w:val="28"/>
        </w:rPr>
        <w:t>7</w:t>
      </w:r>
      <w:r w:rsidRPr="00AF1F0F">
        <w:rPr>
          <w:rFonts w:ascii="Bookman Old Style" w:hAnsi="Bookman Old Style"/>
          <w:bCs/>
          <w:sz w:val="28"/>
          <w:szCs w:val="28"/>
        </w:rPr>
        <w:t xml:space="preserve"> de </w:t>
      </w:r>
      <w:r w:rsidR="00F158E5" w:rsidRPr="00AF1F0F">
        <w:rPr>
          <w:rFonts w:ascii="Bookman Old Style" w:hAnsi="Bookman Old Style"/>
          <w:bCs/>
          <w:sz w:val="28"/>
          <w:szCs w:val="28"/>
        </w:rPr>
        <w:t>febrero</w:t>
      </w:r>
      <w:r w:rsidRPr="00AF1F0F">
        <w:rPr>
          <w:rFonts w:ascii="Bookman Old Style" w:hAnsi="Bookman Old Style"/>
          <w:bCs/>
          <w:sz w:val="28"/>
          <w:szCs w:val="28"/>
        </w:rPr>
        <w:t xml:space="preserve"> de 202</w:t>
      </w:r>
      <w:r w:rsidR="00F158E5" w:rsidRPr="00AF1F0F">
        <w:rPr>
          <w:rFonts w:ascii="Bookman Old Style" w:hAnsi="Bookman Old Style"/>
          <w:bCs/>
          <w:sz w:val="28"/>
          <w:szCs w:val="28"/>
        </w:rPr>
        <w:t>5,</w:t>
      </w:r>
      <w:r w:rsidR="005F3CE3" w:rsidRPr="00AF1F0F">
        <w:rPr>
          <w:rFonts w:ascii="Bookman Old Style" w:hAnsi="Bookman Old Style"/>
          <w:bCs/>
          <w:sz w:val="28"/>
          <w:szCs w:val="28"/>
        </w:rPr>
        <w:t xml:space="preserve"> revocarla en cuanto </w:t>
      </w:r>
      <w:r w:rsidR="0079064C" w:rsidRPr="00AF1F0F">
        <w:rPr>
          <w:rFonts w:ascii="Bookman Old Style" w:hAnsi="Bookman Old Style"/>
          <w:bCs/>
          <w:sz w:val="28"/>
          <w:szCs w:val="28"/>
        </w:rPr>
        <w:t xml:space="preserve">lo </w:t>
      </w:r>
      <w:r w:rsidR="005F3CE3" w:rsidRPr="00AF1F0F">
        <w:rPr>
          <w:rFonts w:ascii="Bookman Old Style" w:hAnsi="Bookman Old Style"/>
          <w:bCs/>
          <w:sz w:val="28"/>
          <w:szCs w:val="28"/>
        </w:rPr>
        <w:t>condenó por el punible de fabricación, tráfico o porte de estupefacientes para, en su lugar, declarar extinguida la acción penal por prescripción.</w:t>
      </w:r>
    </w:p>
    <w:p w14:paraId="453ABCAA" w14:textId="19FD03F1" w:rsidR="00634FB4" w:rsidRPr="00AF1F0F" w:rsidRDefault="00634FB4" w:rsidP="00634FB4">
      <w:pPr>
        <w:pStyle w:val="Textoindependiente2"/>
        <w:spacing w:after="0" w:line="360" w:lineRule="auto"/>
        <w:ind w:right="51" w:firstLine="709"/>
        <w:jc w:val="both"/>
        <w:rPr>
          <w:rFonts w:ascii="Bookman Old Style" w:hAnsi="Bookman Old Style"/>
          <w:bCs/>
          <w:sz w:val="28"/>
          <w:szCs w:val="28"/>
        </w:rPr>
      </w:pPr>
    </w:p>
    <w:p w14:paraId="1A8CE3D5" w14:textId="4AF6A799" w:rsidR="00C825B8" w:rsidRPr="00AF1F0F" w:rsidRDefault="00C825B8" w:rsidP="00C825B8">
      <w:pPr>
        <w:pStyle w:val="Textoindependiente2"/>
        <w:spacing w:after="0" w:line="360" w:lineRule="auto"/>
        <w:ind w:right="51" w:firstLine="709"/>
        <w:jc w:val="center"/>
        <w:rPr>
          <w:rFonts w:ascii="Bookman Old Style" w:hAnsi="Bookman Old Style"/>
          <w:b/>
          <w:sz w:val="28"/>
          <w:szCs w:val="28"/>
        </w:rPr>
      </w:pPr>
      <w:r w:rsidRPr="00AF1F0F">
        <w:rPr>
          <w:rFonts w:ascii="Bookman Old Style" w:hAnsi="Bookman Old Style"/>
          <w:b/>
          <w:sz w:val="28"/>
          <w:szCs w:val="28"/>
        </w:rPr>
        <w:t>LA DEMANDA:</w:t>
      </w:r>
    </w:p>
    <w:p w14:paraId="54AE8A00" w14:textId="77777777" w:rsidR="00C825B8" w:rsidRPr="00AF1F0F" w:rsidRDefault="00C825B8" w:rsidP="00634FB4">
      <w:pPr>
        <w:pStyle w:val="Textoindependiente2"/>
        <w:spacing w:after="0" w:line="360" w:lineRule="auto"/>
        <w:ind w:right="51" w:firstLine="709"/>
        <w:jc w:val="both"/>
        <w:rPr>
          <w:rFonts w:ascii="Bookman Old Style" w:hAnsi="Bookman Old Style"/>
          <w:bCs/>
          <w:sz w:val="28"/>
          <w:szCs w:val="28"/>
        </w:rPr>
      </w:pPr>
    </w:p>
    <w:p w14:paraId="5D566312" w14:textId="18EF7A59" w:rsidR="00565221" w:rsidRPr="00AF1F0F" w:rsidRDefault="00634FB4" w:rsidP="00634FB4">
      <w:pPr>
        <w:pStyle w:val="Textoindependiente2"/>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t>A su turno</w:t>
      </w:r>
      <w:r w:rsidR="00793129" w:rsidRPr="00AF1F0F">
        <w:rPr>
          <w:rFonts w:ascii="Bookman Old Style" w:hAnsi="Bookman Old Style"/>
          <w:bCs/>
          <w:sz w:val="28"/>
          <w:szCs w:val="28"/>
        </w:rPr>
        <w:t>, la Fiscalía Segunda Delegada ante los Juzgados Penales del Circuito Especializados de Arauca, interpuso, contra tal decisión, el recurso de</w:t>
      </w:r>
      <w:r w:rsidRPr="00AF1F0F">
        <w:rPr>
          <w:rFonts w:ascii="Bookman Old Style" w:hAnsi="Bookman Old Style"/>
          <w:bCs/>
          <w:sz w:val="28"/>
          <w:szCs w:val="28"/>
        </w:rPr>
        <w:t xml:space="preserve"> casación</w:t>
      </w:r>
      <w:r w:rsidR="00793129" w:rsidRPr="00AF1F0F">
        <w:rPr>
          <w:rFonts w:ascii="Bookman Old Style" w:hAnsi="Bookman Old Style"/>
          <w:bCs/>
          <w:sz w:val="28"/>
          <w:szCs w:val="28"/>
        </w:rPr>
        <w:t xml:space="preserve"> a través del cual formuló dos cargos</w:t>
      </w:r>
      <w:r w:rsidR="00565221" w:rsidRPr="00AF1F0F">
        <w:rPr>
          <w:rFonts w:ascii="Bookman Old Style" w:hAnsi="Bookman Old Style"/>
          <w:bCs/>
          <w:sz w:val="28"/>
          <w:szCs w:val="28"/>
        </w:rPr>
        <w:t>.</w:t>
      </w:r>
    </w:p>
    <w:p w14:paraId="2D2E9DFF" w14:textId="77777777" w:rsidR="00565221" w:rsidRPr="00AF1F0F" w:rsidRDefault="00565221" w:rsidP="00634FB4">
      <w:pPr>
        <w:pStyle w:val="Textoindependiente2"/>
        <w:spacing w:after="0" w:line="360" w:lineRule="auto"/>
        <w:ind w:right="51" w:firstLine="709"/>
        <w:jc w:val="both"/>
        <w:rPr>
          <w:rFonts w:ascii="Bookman Old Style" w:hAnsi="Bookman Old Style"/>
          <w:bCs/>
          <w:sz w:val="28"/>
          <w:szCs w:val="28"/>
        </w:rPr>
      </w:pPr>
    </w:p>
    <w:p w14:paraId="2C4367D8" w14:textId="7236D112" w:rsidR="00AE209B" w:rsidRPr="00AF1F0F" w:rsidRDefault="00565221" w:rsidP="00634FB4">
      <w:pPr>
        <w:pStyle w:val="Textoindependiente2"/>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t>E</w:t>
      </w:r>
      <w:r w:rsidR="00793129" w:rsidRPr="00AF1F0F">
        <w:rPr>
          <w:rFonts w:ascii="Bookman Old Style" w:hAnsi="Bookman Old Style"/>
          <w:bCs/>
          <w:sz w:val="28"/>
          <w:szCs w:val="28"/>
        </w:rPr>
        <w:t>l primero</w:t>
      </w:r>
      <w:r w:rsidRPr="00AF1F0F">
        <w:rPr>
          <w:rFonts w:ascii="Bookman Old Style" w:hAnsi="Bookman Old Style"/>
          <w:bCs/>
          <w:sz w:val="28"/>
          <w:szCs w:val="28"/>
        </w:rPr>
        <w:t>, con sustento en la causal primera, denuncia la violación directa de la ley por falta de aplicación del artículo 83 del Código Penal, en tanto, para efectos prescriptivos, no se hizo el incremento derivado de la condición de servidor público a pesar de que, siendo un agente dedicado a la investigación, le es reprochable que use el conocimiento sobre quiénes hacen parte de las redes ilícitas de tráfico de armas y drogas para, en lugar de denunciarlos, resulte teniendo tratos ilícitos de mercancías ilegales y por tanto, conociendo</w:t>
      </w:r>
      <w:r w:rsidR="00AE209B" w:rsidRPr="00AF1F0F">
        <w:rPr>
          <w:rFonts w:ascii="Bookman Old Style" w:hAnsi="Bookman Old Style"/>
          <w:bCs/>
          <w:sz w:val="28"/>
          <w:szCs w:val="28"/>
        </w:rPr>
        <w:t xml:space="preserve"> a la ilícita clientela para asegurar su comercio de drogas.</w:t>
      </w:r>
    </w:p>
    <w:p w14:paraId="0A858523" w14:textId="77777777" w:rsidR="00AE209B" w:rsidRPr="00AF1F0F" w:rsidRDefault="00AE209B" w:rsidP="00634FB4">
      <w:pPr>
        <w:pStyle w:val="Textoindependiente2"/>
        <w:spacing w:after="0" w:line="360" w:lineRule="auto"/>
        <w:ind w:right="51" w:firstLine="709"/>
        <w:jc w:val="both"/>
        <w:rPr>
          <w:rFonts w:ascii="Bookman Old Style" w:hAnsi="Bookman Old Style"/>
          <w:bCs/>
          <w:sz w:val="28"/>
          <w:szCs w:val="28"/>
        </w:rPr>
      </w:pPr>
    </w:p>
    <w:p w14:paraId="7964B1F3" w14:textId="5D429824" w:rsidR="00634FB4" w:rsidRPr="00AF1F0F" w:rsidRDefault="00AE209B" w:rsidP="00634FB4">
      <w:pPr>
        <w:pStyle w:val="Textoindependiente2"/>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t xml:space="preserve">Además, dice el recurrente, con independencia de que el acusado haya sido absuelto por el delito de tráfico de armas, los supuestos fácticos de la acusación explican que la génesis de la investigación son los problemas de </w:t>
      </w:r>
      <w:r w:rsidRPr="00AF1F0F">
        <w:rPr>
          <w:rFonts w:ascii="Bookman Old Style" w:hAnsi="Bookman Old Style"/>
          <w:bCs/>
          <w:sz w:val="28"/>
          <w:szCs w:val="28"/>
        </w:rPr>
        <w:lastRenderedPageBreak/>
        <w:t>corrupción</w:t>
      </w:r>
      <w:r w:rsidR="00565221" w:rsidRPr="00AF1F0F">
        <w:rPr>
          <w:rFonts w:ascii="Bookman Old Style" w:hAnsi="Bookman Old Style"/>
          <w:bCs/>
          <w:sz w:val="28"/>
          <w:szCs w:val="28"/>
        </w:rPr>
        <w:t xml:space="preserve"> </w:t>
      </w:r>
      <w:r w:rsidRPr="00AF1F0F">
        <w:rPr>
          <w:rFonts w:ascii="Bookman Old Style" w:hAnsi="Bookman Old Style"/>
          <w:bCs/>
          <w:sz w:val="28"/>
          <w:szCs w:val="28"/>
        </w:rPr>
        <w:t>al interior de la institución pues, se sabe que uno de sus agentes tiene tratos ilícitos con personas asociadas a las economías ilegales.</w:t>
      </w:r>
    </w:p>
    <w:p w14:paraId="5ED382AE" w14:textId="734932BC" w:rsidR="00AE209B" w:rsidRPr="00AF1F0F" w:rsidRDefault="00AE209B" w:rsidP="00634FB4">
      <w:pPr>
        <w:pStyle w:val="Textoindependiente2"/>
        <w:spacing w:after="0" w:line="360" w:lineRule="auto"/>
        <w:ind w:right="51" w:firstLine="709"/>
        <w:jc w:val="both"/>
        <w:rPr>
          <w:rFonts w:ascii="Bookman Old Style" w:hAnsi="Bookman Old Style"/>
          <w:bCs/>
          <w:sz w:val="28"/>
          <w:szCs w:val="28"/>
        </w:rPr>
      </w:pPr>
    </w:p>
    <w:p w14:paraId="5A2C5B38" w14:textId="20ED1744" w:rsidR="00AE209B" w:rsidRPr="00AF1F0F" w:rsidRDefault="00AE209B" w:rsidP="00634FB4">
      <w:pPr>
        <w:pStyle w:val="Textoindependiente2"/>
        <w:spacing w:after="0" w:line="360" w:lineRule="auto"/>
        <w:ind w:right="51" w:firstLine="709"/>
        <w:jc w:val="both"/>
        <w:rPr>
          <w:rFonts w:ascii="Bookman Old Style" w:hAnsi="Bookman Old Style"/>
          <w:bCs/>
          <w:sz w:val="28"/>
          <w:szCs w:val="28"/>
        </w:rPr>
      </w:pPr>
      <w:r w:rsidRPr="00AF1F0F">
        <w:rPr>
          <w:rFonts w:ascii="Bookman Old Style" w:hAnsi="Bookman Old Style"/>
          <w:bCs/>
          <w:sz w:val="28"/>
          <w:szCs w:val="28"/>
        </w:rPr>
        <w:t>De otro lado, afirma, la aplicación del inciso 6º de la citada norma no depende de que el delito imputado tenga alguna conexidad con un delito específico contra la administración pública, aunque, claro, el ideal habría sido identificar a los demás policías corruptos y saber a qué casos y a qué incautaciones corresponden las armas y las drogas comercializadas.</w:t>
      </w:r>
    </w:p>
    <w:p w14:paraId="36968E58" w14:textId="48DF9FA8" w:rsidR="00AE209B" w:rsidRPr="00AF1F0F" w:rsidRDefault="00AE209B" w:rsidP="00634FB4">
      <w:pPr>
        <w:pStyle w:val="Textoindependiente2"/>
        <w:spacing w:after="0" w:line="360" w:lineRule="auto"/>
        <w:ind w:right="51" w:firstLine="709"/>
        <w:jc w:val="both"/>
        <w:rPr>
          <w:rFonts w:ascii="Bookman Old Style" w:hAnsi="Bookman Old Style"/>
          <w:bCs/>
          <w:sz w:val="28"/>
          <w:szCs w:val="28"/>
        </w:rPr>
      </w:pPr>
    </w:p>
    <w:p w14:paraId="45FCDA21" w14:textId="226E0D31" w:rsidR="00AE209B" w:rsidRPr="00AF1F0F" w:rsidRDefault="00AE209B"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bCs/>
          <w:sz w:val="28"/>
          <w:szCs w:val="28"/>
        </w:rPr>
        <w:t>Por tanto, concluye</w:t>
      </w:r>
      <w:r w:rsidR="00C825B8" w:rsidRPr="00AF1F0F">
        <w:rPr>
          <w:rFonts w:ascii="Bookman Old Style" w:hAnsi="Bookman Old Style"/>
          <w:bCs/>
          <w:sz w:val="28"/>
          <w:szCs w:val="28"/>
        </w:rPr>
        <w:t>, el término de prescripción, incluido el incremento derivado de la condición de servidor público, es de 6 años y 9 meses que, contado, desde la imputación, habría fenecido el 24 de octubre de 2025, pero, como fue suspendido el 27 de febrero del mismo año con la decisión de segunda instancia, significa que el lapso de extinción no alcanzó a concretarse.</w:t>
      </w:r>
    </w:p>
    <w:p w14:paraId="270BC292" w14:textId="72FCC579" w:rsidR="00634FB4" w:rsidRPr="00AF1F0F" w:rsidRDefault="00634FB4" w:rsidP="00C825B8">
      <w:pPr>
        <w:pStyle w:val="Textoindependiente2"/>
        <w:spacing w:after="0" w:line="360" w:lineRule="auto"/>
        <w:ind w:right="51" w:firstLine="709"/>
        <w:jc w:val="both"/>
        <w:rPr>
          <w:rFonts w:ascii="Bookman Old Style" w:hAnsi="Bookman Old Style" w:cs="Arial"/>
          <w:sz w:val="28"/>
          <w:szCs w:val="28"/>
        </w:rPr>
      </w:pPr>
    </w:p>
    <w:p w14:paraId="6630A765" w14:textId="51BD02A7" w:rsidR="00C825B8" w:rsidRPr="00AF1F0F" w:rsidRDefault="00C825B8"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El segundo reparo se formula con sustento en la causal tercera de casación y a través suyo se denuncia que la sentencia recurrida violó indirectamente la ley debido a un falso juicio de existencia por omisión en valorar el testimonio de la investigadora Jéssica Paola García Melo, así como la prueba documental incorporada con ella, en tanto da cuenta del tiempo de servicio del acusado, la unidad a la que se halla asignado</w:t>
      </w:r>
      <w:r w:rsidR="00BB6099" w:rsidRPr="00AF1F0F">
        <w:rPr>
          <w:rFonts w:ascii="Bookman Old Style" w:hAnsi="Bookman Old Style" w:cs="Arial"/>
          <w:sz w:val="28"/>
          <w:szCs w:val="28"/>
        </w:rPr>
        <w:t xml:space="preserve"> y de las imágenes captadas por el agente encubierto al momento de efectuar la compra controlada del estupefaciente.</w:t>
      </w:r>
    </w:p>
    <w:p w14:paraId="706EFE6C" w14:textId="45ECEADF" w:rsidR="00BB6099" w:rsidRPr="00AF1F0F" w:rsidRDefault="00BB6099"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lastRenderedPageBreak/>
        <w:t>Igual el testimonio del investigador Augusto Rafael Aldana, quien declaró cómo a partir del conocimiento sobre los actos de corrupción protagonizados por el acusado, se acudió a la figura del agente encubierto; también el de Jhon Renmart Cabrillas, quien depuso en torno a las comunicaciones telefónicas interceptadas y éstas mismas, especialmente aquellas que refieren la participación de por lo menos cinco servidores, de donde puede inferirse que la venta del estupefaciente se realizó en el marco de ese foco de corrupción al interior de la institución, relacionado</w:t>
      </w:r>
      <w:r w:rsidR="00CC21AA" w:rsidRPr="00AF1F0F">
        <w:rPr>
          <w:rFonts w:ascii="Bookman Old Style" w:hAnsi="Bookman Old Style" w:cs="Arial"/>
          <w:sz w:val="28"/>
          <w:szCs w:val="28"/>
        </w:rPr>
        <w:t>,</w:t>
      </w:r>
      <w:r w:rsidRPr="00AF1F0F">
        <w:rPr>
          <w:rFonts w:ascii="Bookman Old Style" w:hAnsi="Bookman Old Style" w:cs="Arial"/>
          <w:sz w:val="28"/>
          <w:szCs w:val="28"/>
        </w:rPr>
        <w:t xml:space="preserve"> además</w:t>
      </w:r>
      <w:r w:rsidR="00CC21AA" w:rsidRPr="00AF1F0F">
        <w:rPr>
          <w:rFonts w:ascii="Bookman Old Style" w:hAnsi="Bookman Old Style" w:cs="Arial"/>
          <w:sz w:val="28"/>
          <w:szCs w:val="28"/>
        </w:rPr>
        <w:t>,</w:t>
      </w:r>
      <w:r w:rsidRPr="00AF1F0F">
        <w:rPr>
          <w:rFonts w:ascii="Bookman Old Style" w:hAnsi="Bookman Old Style" w:cs="Arial"/>
          <w:sz w:val="28"/>
          <w:szCs w:val="28"/>
        </w:rPr>
        <w:t xml:space="preserve"> con una empresa criminal que también cometía hurtos.</w:t>
      </w:r>
      <w:r w:rsidR="00CC21AA" w:rsidRPr="00AF1F0F">
        <w:rPr>
          <w:rFonts w:ascii="Bookman Old Style" w:hAnsi="Bookman Old Style" w:cs="Arial"/>
          <w:sz w:val="28"/>
          <w:szCs w:val="28"/>
        </w:rPr>
        <w:t xml:space="preserve"> O la comunicación interceptada el 19 de octubre de 2017, de la cual se colige la alta capacidad del acusado para comercializar estupefacientes, a los cuales tenía acceso y comercializaba con ocasión de sus funciones pues, sabía donde adquirirla y a quién vendérsela.</w:t>
      </w:r>
    </w:p>
    <w:p w14:paraId="2CFB5277" w14:textId="409776D2" w:rsidR="00CC21AA" w:rsidRPr="00AF1F0F" w:rsidRDefault="00CC21AA" w:rsidP="00C825B8">
      <w:pPr>
        <w:pStyle w:val="Textoindependiente2"/>
        <w:spacing w:after="0" w:line="360" w:lineRule="auto"/>
        <w:ind w:right="51" w:firstLine="709"/>
        <w:jc w:val="both"/>
        <w:rPr>
          <w:rFonts w:ascii="Bookman Old Style" w:hAnsi="Bookman Old Style" w:cs="Arial"/>
          <w:sz w:val="28"/>
          <w:szCs w:val="28"/>
        </w:rPr>
      </w:pPr>
    </w:p>
    <w:p w14:paraId="0DB63D18" w14:textId="43FC478B" w:rsidR="00CC21AA" w:rsidRPr="00AF1F0F" w:rsidRDefault="00CC21AA"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También se omitió, agrega, valorar el testimonio del investigador José Ricardo Artunduaga y las copias que del libro radicador de entradas y salidas se aportaron con él, según las cuales el acusado salió el 20 de octubre de 2017 a las 9:30 a.m. con destino a la estación de gasolina en la motocicleta institucional de placas CHL87C y siglas 330229 en compañía del patrullero Buendía, pues, esto significa que se hallaba de servicio para el momento de los hechos y utilizando el vehículo oficial.</w:t>
      </w:r>
    </w:p>
    <w:p w14:paraId="40516900" w14:textId="0E36061C" w:rsidR="00CC21AA" w:rsidRPr="00AF1F0F" w:rsidRDefault="00CC21AA" w:rsidP="00C825B8">
      <w:pPr>
        <w:pStyle w:val="Textoindependiente2"/>
        <w:spacing w:after="0" w:line="360" w:lineRule="auto"/>
        <w:ind w:right="51" w:firstLine="709"/>
        <w:jc w:val="both"/>
        <w:rPr>
          <w:rFonts w:ascii="Bookman Old Style" w:hAnsi="Bookman Old Style" w:cs="Arial"/>
          <w:sz w:val="28"/>
          <w:szCs w:val="28"/>
        </w:rPr>
      </w:pPr>
    </w:p>
    <w:p w14:paraId="4995233C" w14:textId="1C219597" w:rsidR="00CC21AA" w:rsidRPr="00AF1F0F" w:rsidRDefault="00CC21AA"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Todas esas pruebas, cuya apreciación se omitió, afirma, demuestran que el acusado ostentaba, para la fecha de los hechos, la calidad de servidor público</w:t>
      </w:r>
      <w:r w:rsidR="00D45610" w:rsidRPr="00AF1F0F">
        <w:rPr>
          <w:rFonts w:ascii="Bookman Old Style" w:hAnsi="Bookman Old Style" w:cs="Arial"/>
          <w:sz w:val="28"/>
          <w:szCs w:val="28"/>
        </w:rPr>
        <w:t xml:space="preserve">, que no actuaba solo, </w:t>
      </w:r>
      <w:r w:rsidR="00D45610" w:rsidRPr="00AF1F0F">
        <w:rPr>
          <w:rFonts w:ascii="Bookman Old Style" w:hAnsi="Bookman Old Style" w:cs="Arial"/>
          <w:sz w:val="28"/>
          <w:szCs w:val="28"/>
        </w:rPr>
        <w:lastRenderedPageBreak/>
        <w:t>sino también con otros compañeros implicados y que, en conexión con su rol policial, se trasladó el 20 de octubre de 2017 en la motocicleta institucional con el aparente propósito de citar a unas víctimas a ampliación de denuncia, pero, realmente utilizó su fachada institucional para moverse con impunidad en el tráfico de narcóticos toda vez que, merced a su cargo, sabía por dónde se movía y quiénes eran los potenciales compradores, de todo lo cual surge evidente la conexión del cargo con la actividad ilícita.</w:t>
      </w:r>
    </w:p>
    <w:p w14:paraId="4F748597" w14:textId="4435D37D" w:rsidR="00D45610" w:rsidRPr="00AF1F0F" w:rsidRDefault="00D45610" w:rsidP="00C825B8">
      <w:pPr>
        <w:pStyle w:val="Textoindependiente2"/>
        <w:spacing w:after="0" w:line="360" w:lineRule="auto"/>
        <w:ind w:right="51" w:firstLine="709"/>
        <w:jc w:val="both"/>
        <w:rPr>
          <w:rFonts w:ascii="Bookman Old Style" w:hAnsi="Bookman Old Style" w:cs="Arial"/>
          <w:sz w:val="28"/>
          <w:szCs w:val="28"/>
        </w:rPr>
      </w:pPr>
    </w:p>
    <w:p w14:paraId="5FFF2FE2" w14:textId="4A2CABE3" w:rsidR="00D45610" w:rsidRPr="00AF1F0F" w:rsidRDefault="00D45610" w:rsidP="00C825B8">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Solicita, en consecuencia, se revoque la decisión recurrida y en su lugar se condene al acusado, tal como lo hizo el fallador de primera instancia.</w:t>
      </w:r>
    </w:p>
    <w:p w14:paraId="023C6335" w14:textId="77777777" w:rsidR="00634FB4" w:rsidRPr="00AF1F0F" w:rsidRDefault="00634FB4" w:rsidP="00C825B8">
      <w:pPr>
        <w:spacing w:after="0" w:line="360" w:lineRule="auto"/>
        <w:ind w:right="51" w:firstLine="709"/>
        <w:jc w:val="both"/>
        <w:rPr>
          <w:rFonts w:ascii="Bookman Old Style" w:hAnsi="Bookman Old Style"/>
          <w:bCs/>
          <w:iCs/>
          <w:sz w:val="28"/>
          <w:szCs w:val="28"/>
        </w:rPr>
      </w:pPr>
    </w:p>
    <w:p w14:paraId="58D3858C" w14:textId="77777777" w:rsidR="000D3302" w:rsidRPr="00AF1F0F" w:rsidRDefault="000D3302" w:rsidP="00634FB4">
      <w:pPr>
        <w:spacing w:after="0" w:line="360" w:lineRule="auto"/>
        <w:ind w:right="51" w:firstLine="709"/>
        <w:jc w:val="center"/>
        <w:rPr>
          <w:rFonts w:ascii="Bookman Old Style" w:hAnsi="Bookman Old Style"/>
          <w:b/>
          <w:iCs/>
          <w:sz w:val="28"/>
          <w:szCs w:val="28"/>
        </w:rPr>
      </w:pPr>
      <w:r w:rsidRPr="00AF1F0F">
        <w:rPr>
          <w:rFonts w:ascii="Bookman Old Style" w:hAnsi="Bookman Old Style"/>
          <w:b/>
          <w:iCs/>
          <w:sz w:val="28"/>
          <w:szCs w:val="28"/>
        </w:rPr>
        <w:t>AUDIENCIA DE SUSTENTACIÓN:</w:t>
      </w:r>
    </w:p>
    <w:p w14:paraId="6A5F8122" w14:textId="77777777" w:rsidR="000D3302" w:rsidRPr="00AF1F0F" w:rsidRDefault="000D3302" w:rsidP="000D3302">
      <w:pPr>
        <w:spacing w:after="0" w:line="360" w:lineRule="auto"/>
        <w:ind w:right="51" w:firstLine="709"/>
        <w:jc w:val="both"/>
        <w:rPr>
          <w:rFonts w:ascii="Bookman Old Style" w:hAnsi="Bookman Old Style"/>
          <w:b/>
          <w:iCs/>
          <w:sz w:val="28"/>
          <w:szCs w:val="28"/>
        </w:rPr>
      </w:pPr>
    </w:p>
    <w:p w14:paraId="1DF1B86B" w14:textId="33D77D86" w:rsidR="000D3302" w:rsidRPr="00AF1F0F" w:rsidRDefault="000D3302" w:rsidP="000D3302">
      <w:pPr>
        <w:spacing w:after="0" w:line="360" w:lineRule="auto"/>
        <w:ind w:right="51" w:firstLine="709"/>
        <w:jc w:val="both"/>
        <w:rPr>
          <w:rFonts w:ascii="Bookman Old Style" w:hAnsi="Bookman Old Style"/>
          <w:bCs/>
          <w:iCs/>
          <w:sz w:val="28"/>
          <w:szCs w:val="28"/>
        </w:rPr>
      </w:pPr>
      <w:r w:rsidRPr="00AF1F0F">
        <w:rPr>
          <w:rFonts w:ascii="Bookman Old Style" w:hAnsi="Bookman Old Style"/>
          <w:b/>
          <w:iCs/>
          <w:sz w:val="28"/>
          <w:szCs w:val="28"/>
        </w:rPr>
        <w:t xml:space="preserve">La fiscalía: </w:t>
      </w:r>
      <w:r w:rsidRPr="00AF1F0F">
        <w:rPr>
          <w:rFonts w:ascii="Bookman Old Style" w:hAnsi="Bookman Old Style"/>
          <w:bCs/>
          <w:iCs/>
          <w:sz w:val="28"/>
          <w:szCs w:val="28"/>
        </w:rPr>
        <w:t>encuentra que, en efecto, el tribunal omitió aplicar el incremento al término prescriptivo, no obstante haberse establecido que el delito objeto de juicio fue cometido por un patrullero de la Policía Nacional en ejercicio de sus funciones, de modo que, la declaratoria de extinción de la acción resultaba improcedente habida consideración que</w:t>
      </w:r>
      <w:r w:rsidR="00067610" w:rsidRPr="00AF1F0F">
        <w:rPr>
          <w:rFonts w:ascii="Bookman Old Style" w:hAnsi="Bookman Old Style"/>
          <w:bCs/>
          <w:iCs/>
          <w:sz w:val="28"/>
          <w:szCs w:val="28"/>
        </w:rPr>
        <w:t xml:space="preserve">, tanto </w:t>
      </w:r>
      <w:r w:rsidRPr="00AF1F0F">
        <w:rPr>
          <w:rFonts w:ascii="Bookman Old Style" w:hAnsi="Bookman Old Style"/>
          <w:bCs/>
          <w:iCs/>
          <w:sz w:val="28"/>
          <w:szCs w:val="28"/>
        </w:rPr>
        <w:t xml:space="preserve">la imputación y la acusación, como la sentencia de primera instancia, </w:t>
      </w:r>
      <w:r w:rsidR="00067610" w:rsidRPr="00AF1F0F">
        <w:rPr>
          <w:rFonts w:ascii="Bookman Old Style" w:hAnsi="Bookman Old Style"/>
          <w:bCs/>
          <w:iCs/>
          <w:sz w:val="28"/>
          <w:szCs w:val="28"/>
        </w:rPr>
        <w:t>relacionan el hecho de que el acusado participaba en operativos donde se apoderaba ilícitamente de estupefacientes y después los enajenaba.</w:t>
      </w:r>
    </w:p>
    <w:p w14:paraId="6CF74C0D" w14:textId="662D8EC6" w:rsidR="00067610" w:rsidRPr="00AF1F0F" w:rsidRDefault="00067610" w:rsidP="000D3302">
      <w:pPr>
        <w:spacing w:after="0" w:line="360" w:lineRule="auto"/>
        <w:ind w:right="51" w:firstLine="709"/>
        <w:jc w:val="both"/>
        <w:rPr>
          <w:rFonts w:ascii="Bookman Old Style" w:hAnsi="Bookman Old Style"/>
          <w:bCs/>
          <w:iCs/>
          <w:sz w:val="28"/>
          <w:szCs w:val="28"/>
        </w:rPr>
      </w:pPr>
    </w:p>
    <w:p w14:paraId="7CCB2C1A" w14:textId="6575F012" w:rsidR="00067610" w:rsidRPr="00AF1F0F" w:rsidRDefault="00067610" w:rsidP="000D3302">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 xml:space="preserve">Se dejaron de analizar, dice el delegado, pruebas determinantes de que el hecho se cometió por el acusado en ejercicio de sus funciones, como el testimonio del </w:t>
      </w:r>
      <w:r w:rsidRPr="00AF1F0F">
        <w:rPr>
          <w:rFonts w:ascii="Bookman Old Style" w:hAnsi="Bookman Old Style"/>
          <w:bCs/>
          <w:iCs/>
          <w:sz w:val="28"/>
          <w:szCs w:val="28"/>
        </w:rPr>
        <w:lastRenderedPageBreak/>
        <w:t>investigador Aldana Tafur, según el cual la investigación se inició con ocasión de denuncias de corrupción por actos en que participaba el acusado; igual, las interceptaciones telefónicas que dan cuenta de un entramado de hurto y comercialización de estupefacientes durante operativos policiales, como la comunicación identificada con el No. 11 del 6 de noviembre de 2017, donde se habla acerca del dinero que iba a recibir el agente procesado.</w:t>
      </w:r>
    </w:p>
    <w:p w14:paraId="7887D7B9" w14:textId="0E6BD7B6" w:rsidR="00067610" w:rsidRPr="00AF1F0F" w:rsidRDefault="00067610" w:rsidP="000D3302">
      <w:pPr>
        <w:spacing w:after="0" w:line="360" w:lineRule="auto"/>
        <w:ind w:right="51" w:firstLine="709"/>
        <w:jc w:val="both"/>
        <w:rPr>
          <w:rFonts w:ascii="Bookman Old Style" w:hAnsi="Bookman Old Style"/>
          <w:bCs/>
          <w:iCs/>
          <w:sz w:val="28"/>
          <w:szCs w:val="28"/>
        </w:rPr>
      </w:pPr>
    </w:p>
    <w:p w14:paraId="5A3F0C33" w14:textId="534D3787" w:rsidR="00067610" w:rsidRPr="00AF1F0F" w:rsidRDefault="00067610" w:rsidP="000D3302">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Lo mismo, el libro de entradas y salidas donde se registró la salida del acusado el día de los hechos, en moto oficial y cuando se hallaba de servicio.</w:t>
      </w:r>
    </w:p>
    <w:p w14:paraId="54580FA8" w14:textId="515D8329" w:rsidR="00067610" w:rsidRPr="00AF1F0F" w:rsidRDefault="00067610" w:rsidP="000D3302">
      <w:pPr>
        <w:spacing w:after="0" w:line="360" w:lineRule="auto"/>
        <w:ind w:right="51" w:firstLine="709"/>
        <w:jc w:val="both"/>
        <w:rPr>
          <w:rFonts w:ascii="Bookman Old Style" w:hAnsi="Bookman Old Style"/>
          <w:bCs/>
          <w:iCs/>
          <w:sz w:val="28"/>
          <w:szCs w:val="28"/>
        </w:rPr>
      </w:pPr>
    </w:p>
    <w:p w14:paraId="0B7DA1A7" w14:textId="6F39E868" w:rsidR="00067610" w:rsidRPr="00AF1F0F" w:rsidRDefault="00067610" w:rsidP="000D3302">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Solicita, por eso, se case la sentencia recurrida, se revoque la extinción de la acción decretada en segunda instancia y se confirme el fallo de primer grado.</w:t>
      </w:r>
    </w:p>
    <w:p w14:paraId="61B697FB" w14:textId="71B1286A" w:rsidR="00634FB4" w:rsidRPr="00AF1F0F" w:rsidRDefault="00634FB4" w:rsidP="00067610">
      <w:pPr>
        <w:spacing w:after="0" w:line="360" w:lineRule="auto"/>
        <w:ind w:right="51" w:firstLine="709"/>
        <w:jc w:val="both"/>
        <w:rPr>
          <w:rFonts w:ascii="Bookman Old Style" w:hAnsi="Bookman Old Style"/>
          <w:b/>
          <w:iCs/>
          <w:sz w:val="28"/>
          <w:szCs w:val="28"/>
        </w:rPr>
      </w:pPr>
    </w:p>
    <w:p w14:paraId="7BF3B696" w14:textId="77777777" w:rsidR="00BB54F3" w:rsidRPr="00AF1F0F" w:rsidRDefault="00067610" w:rsidP="00067610">
      <w:pPr>
        <w:spacing w:after="0" w:line="360" w:lineRule="auto"/>
        <w:ind w:right="51" w:firstLine="709"/>
        <w:jc w:val="both"/>
        <w:rPr>
          <w:rFonts w:ascii="Bookman Old Style" w:hAnsi="Bookman Old Style"/>
          <w:bCs/>
          <w:iCs/>
          <w:sz w:val="28"/>
          <w:szCs w:val="28"/>
        </w:rPr>
      </w:pPr>
      <w:r w:rsidRPr="00AF1F0F">
        <w:rPr>
          <w:rFonts w:ascii="Bookman Old Style" w:hAnsi="Bookman Old Style"/>
          <w:b/>
          <w:iCs/>
          <w:sz w:val="28"/>
          <w:szCs w:val="28"/>
        </w:rPr>
        <w:t xml:space="preserve">El Ministerio Público: </w:t>
      </w:r>
      <w:r w:rsidRPr="00AF1F0F">
        <w:rPr>
          <w:rFonts w:ascii="Bookman Old Style" w:hAnsi="Bookman Old Style"/>
          <w:bCs/>
          <w:iCs/>
          <w:sz w:val="28"/>
          <w:szCs w:val="28"/>
        </w:rPr>
        <w:t>Además de estar de acuerdo con los términos de la demanda y las alegaciones de la fiscalía, encuentra que el acusado actuó con ocasión de sus funciones</w:t>
      </w:r>
      <w:r w:rsidR="00BB54F3" w:rsidRPr="00AF1F0F">
        <w:rPr>
          <w:rFonts w:ascii="Bookman Old Style" w:hAnsi="Bookman Old Style"/>
          <w:bCs/>
          <w:iCs/>
          <w:sz w:val="28"/>
          <w:szCs w:val="28"/>
        </w:rPr>
        <w:t>, no para efectos del fuero, según lo prescribe el artículo 3º de la Ley 1407 de 2010, pero sí para el incremento del lapso prescriptivo derivado de la condición de servidor público, toda vez que, imputación y acusación hacen las afirmaciones correctas y concretas para atribuir el hecho de que los estupefacientes provenían de operativos policiales.</w:t>
      </w:r>
    </w:p>
    <w:p w14:paraId="42F04CA8" w14:textId="77777777" w:rsidR="00BB54F3" w:rsidRPr="00AF1F0F" w:rsidRDefault="00BB54F3" w:rsidP="00067610">
      <w:pPr>
        <w:spacing w:after="0" w:line="360" w:lineRule="auto"/>
        <w:ind w:right="51" w:firstLine="709"/>
        <w:jc w:val="both"/>
        <w:rPr>
          <w:rFonts w:ascii="Bookman Old Style" w:hAnsi="Bookman Old Style"/>
          <w:bCs/>
          <w:iCs/>
          <w:sz w:val="28"/>
          <w:szCs w:val="28"/>
        </w:rPr>
      </w:pPr>
    </w:p>
    <w:p w14:paraId="54BFECBA" w14:textId="77777777" w:rsidR="00BB54F3" w:rsidRPr="00AF1F0F" w:rsidRDefault="00BB54F3" w:rsidP="00067610">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Por ende, solicita se case el fallo recurrido y se confirme el de primera instancia.</w:t>
      </w:r>
    </w:p>
    <w:p w14:paraId="54193104" w14:textId="77777777" w:rsidR="00BB54F3" w:rsidRPr="00AF1F0F" w:rsidRDefault="00BB54F3" w:rsidP="00067610">
      <w:pPr>
        <w:spacing w:after="0" w:line="360" w:lineRule="auto"/>
        <w:ind w:right="51" w:firstLine="709"/>
        <w:jc w:val="both"/>
        <w:rPr>
          <w:rFonts w:ascii="Bookman Old Style" w:hAnsi="Bookman Old Style"/>
          <w:bCs/>
          <w:iCs/>
          <w:sz w:val="28"/>
          <w:szCs w:val="28"/>
        </w:rPr>
      </w:pPr>
    </w:p>
    <w:p w14:paraId="346862C5" w14:textId="69066A5A" w:rsidR="00067610" w:rsidRPr="00AF1F0F" w:rsidRDefault="00BB54F3" w:rsidP="00067610">
      <w:pPr>
        <w:spacing w:after="0" w:line="360" w:lineRule="auto"/>
        <w:ind w:right="51" w:firstLine="709"/>
        <w:jc w:val="both"/>
        <w:rPr>
          <w:rFonts w:ascii="Bookman Old Style" w:hAnsi="Bookman Old Style"/>
          <w:b/>
          <w:iCs/>
          <w:sz w:val="28"/>
          <w:szCs w:val="28"/>
        </w:rPr>
      </w:pPr>
      <w:r w:rsidRPr="00AF1F0F">
        <w:rPr>
          <w:rFonts w:ascii="Bookman Old Style" w:hAnsi="Bookman Old Style"/>
          <w:b/>
          <w:iCs/>
          <w:sz w:val="28"/>
          <w:szCs w:val="28"/>
        </w:rPr>
        <w:lastRenderedPageBreak/>
        <w:t xml:space="preserve">El defensor: </w:t>
      </w:r>
      <w:r w:rsidRPr="00AF1F0F">
        <w:rPr>
          <w:rFonts w:ascii="Bookman Old Style" w:hAnsi="Bookman Old Style"/>
          <w:bCs/>
          <w:iCs/>
          <w:sz w:val="28"/>
          <w:szCs w:val="28"/>
        </w:rPr>
        <w:t>A su juicio, la fiscalía no acusó, ni demostró que el procesado hubiera cometido el delito en ejercicio de sus funciones o con ocasión de ellas; ni siquiera se estableció cuáles eran las que cumplía o que por razón de las mismas se valiera para ejecutar la conducta punible.</w:t>
      </w:r>
      <w:r w:rsidRPr="00AF1F0F">
        <w:rPr>
          <w:rFonts w:ascii="Bookman Old Style" w:hAnsi="Bookman Old Style"/>
          <w:b/>
          <w:iCs/>
          <w:sz w:val="28"/>
          <w:szCs w:val="28"/>
        </w:rPr>
        <w:t xml:space="preserve"> </w:t>
      </w:r>
    </w:p>
    <w:p w14:paraId="362AF60F" w14:textId="292E5E7D" w:rsidR="00BB54F3" w:rsidRPr="00AF1F0F" w:rsidRDefault="00BB54F3" w:rsidP="00067610">
      <w:pPr>
        <w:spacing w:after="0" w:line="360" w:lineRule="auto"/>
        <w:ind w:right="51" w:firstLine="709"/>
        <w:jc w:val="both"/>
        <w:rPr>
          <w:rFonts w:ascii="Bookman Old Style" w:hAnsi="Bookman Old Style"/>
          <w:bCs/>
          <w:iCs/>
          <w:sz w:val="28"/>
          <w:szCs w:val="28"/>
        </w:rPr>
      </w:pPr>
    </w:p>
    <w:p w14:paraId="72EBAE5C" w14:textId="6B2A40BA" w:rsidR="00BB54F3" w:rsidRPr="00AF1F0F" w:rsidRDefault="00BB54F3" w:rsidP="00067610">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Para la fecha de los hechos, afirma, el procesado no estaba cumpliendo ninguna labor funcional, de haber sido así la competencia para conocer del asunto le habría correspondido a la justicia penal militar.</w:t>
      </w:r>
    </w:p>
    <w:p w14:paraId="4F021FEC" w14:textId="1F8F806C" w:rsidR="00BB54F3" w:rsidRPr="00AF1F0F" w:rsidRDefault="00BB54F3" w:rsidP="00067610">
      <w:pPr>
        <w:spacing w:after="0" w:line="360" w:lineRule="auto"/>
        <w:ind w:right="51" w:firstLine="709"/>
        <w:jc w:val="both"/>
        <w:rPr>
          <w:rFonts w:ascii="Bookman Old Style" w:hAnsi="Bookman Old Style"/>
          <w:bCs/>
          <w:iCs/>
          <w:sz w:val="28"/>
          <w:szCs w:val="28"/>
        </w:rPr>
      </w:pPr>
    </w:p>
    <w:p w14:paraId="5F3E60FC" w14:textId="115B63AA" w:rsidR="00BB54F3" w:rsidRPr="00AF1F0F" w:rsidRDefault="00BB54F3" w:rsidP="00067610">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Se dice, agrega, que el acusado participaba en operativos en los cuales se apoderaba de las sustancias, pero este hecho no se demostró. Una cosa es que se afirme algo así y otra que se haya probado, cuando ni siquiera se sabe de qué operativos se trata.</w:t>
      </w:r>
    </w:p>
    <w:p w14:paraId="7A0B1CF6" w14:textId="17631004" w:rsidR="00BB54F3" w:rsidRPr="00AF1F0F" w:rsidRDefault="00BB54F3" w:rsidP="00067610">
      <w:pPr>
        <w:spacing w:after="0" w:line="360" w:lineRule="auto"/>
        <w:ind w:right="51" w:firstLine="709"/>
        <w:jc w:val="both"/>
        <w:rPr>
          <w:rFonts w:ascii="Bookman Old Style" w:hAnsi="Bookman Old Style"/>
          <w:bCs/>
          <w:iCs/>
          <w:sz w:val="28"/>
          <w:szCs w:val="28"/>
        </w:rPr>
      </w:pPr>
    </w:p>
    <w:p w14:paraId="4E6A2CAA" w14:textId="59EB5CAD" w:rsidR="00BB54F3" w:rsidRPr="00AF1F0F" w:rsidRDefault="00BB54F3" w:rsidP="00067610">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Por ende, concluye, como no se probó que el delito fue cometido por el acusado</w:t>
      </w:r>
      <w:r w:rsidR="003722D2" w:rsidRPr="00AF1F0F">
        <w:rPr>
          <w:rFonts w:ascii="Bookman Old Style" w:hAnsi="Bookman Old Style"/>
          <w:bCs/>
          <w:iCs/>
          <w:sz w:val="28"/>
          <w:szCs w:val="28"/>
        </w:rPr>
        <w:t>,</w:t>
      </w:r>
      <w:r w:rsidRPr="00AF1F0F">
        <w:rPr>
          <w:rFonts w:ascii="Bookman Old Style" w:hAnsi="Bookman Old Style"/>
          <w:bCs/>
          <w:iCs/>
          <w:sz w:val="28"/>
          <w:szCs w:val="28"/>
        </w:rPr>
        <w:t xml:space="preserve"> en ejercicio de sus funciones policiales o con ocasión de ellas</w:t>
      </w:r>
      <w:r w:rsidR="003722D2" w:rsidRPr="00AF1F0F">
        <w:rPr>
          <w:rFonts w:ascii="Bookman Old Style" w:hAnsi="Bookman Old Style"/>
          <w:bCs/>
          <w:iCs/>
          <w:sz w:val="28"/>
          <w:szCs w:val="28"/>
        </w:rPr>
        <w:t>, mal podía incrementarse el lapso prescriptivo a partir de la condición de servidor público, luego la sentencia debe confirmarse, como así lo solicita.</w:t>
      </w:r>
    </w:p>
    <w:p w14:paraId="34F16D13" w14:textId="77777777" w:rsidR="00634FB4" w:rsidRPr="00AF1F0F" w:rsidRDefault="00634FB4" w:rsidP="00634FB4">
      <w:pPr>
        <w:spacing w:after="0" w:line="360" w:lineRule="auto"/>
        <w:ind w:right="51" w:firstLine="709"/>
        <w:jc w:val="both"/>
        <w:rPr>
          <w:rFonts w:ascii="Bookman Old Style" w:hAnsi="Bookman Old Style"/>
          <w:bCs/>
          <w:iCs/>
          <w:sz w:val="28"/>
          <w:szCs w:val="28"/>
        </w:rPr>
      </w:pPr>
    </w:p>
    <w:p w14:paraId="61EDE684" w14:textId="77777777" w:rsidR="00634FB4" w:rsidRPr="00AF1F0F" w:rsidRDefault="00634FB4" w:rsidP="00634FB4">
      <w:pPr>
        <w:spacing w:after="0" w:line="360" w:lineRule="auto"/>
        <w:ind w:right="51" w:firstLine="709"/>
        <w:jc w:val="center"/>
        <w:rPr>
          <w:rFonts w:ascii="Bookman Old Style" w:hAnsi="Bookman Old Style"/>
          <w:b/>
          <w:sz w:val="28"/>
          <w:szCs w:val="28"/>
          <w:lang w:val="es-MX"/>
        </w:rPr>
      </w:pPr>
      <w:r w:rsidRPr="00AF1F0F">
        <w:rPr>
          <w:rFonts w:ascii="Bookman Old Style" w:hAnsi="Bookman Old Style"/>
          <w:b/>
          <w:sz w:val="28"/>
          <w:szCs w:val="28"/>
          <w:lang w:val="es-MX"/>
        </w:rPr>
        <w:t>CONSIDERACIONES:</w:t>
      </w:r>
    </w:p>
    <w:p w14:paraId="7EB13B8D"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2F9CF403" w14:textId="4550C8D2" w:rsidR="005765B1" w:rsidRPr="00AF1F0F" w:rsidRDefault="00634FB4" w:rsidP="0037296E">
      <w:pPr>
        <w:pStyle w:val="Sangradetextonormal"/>
        <w:tabs>
          <w:tab w:val="left" w:pos="8505"/>
        </w:tabs>
        <w:spacing w:after="0" w:line="360" w:lineRule="auto"/>
        <w:ind w:left="0" w:right="51" w:firstLine="709"/>
        <w:jc w:val="both"/>
        <w:rPr>
          <w:rFonts w:ascii="Bookman Old Style" w:hAnsi="Bookman Old Style"/>
          <w:sz w:val="28"/>
          <w:szCs w:val="28"/>
        </w:rPr>
      </w:pPr>
      <w:r w:rsidRPr="00AF1F0F">
        <w:rPr>
          <w:rFonts w:ascii="Bookman Old Style" w:hAnsi="Bookman Old Style"/>
          <w:sz w:val="28"/>
          <w:szCs w:val="28"/>
        </w:rPr>
        <w:t xml:space="preserve">1. </w:t>
      </w:r>
      <w:r w:rsidR="008525C4" w:rsidRPr="00AF1F0F">
        <w:rPr>
          <w:rFonts w:ascii="Bookman Old Style" w:hAnsi="Bookman Old Style"/>
          <w:sz w:val="28"/>
          <w:szCs w:val="28"/>
        </w:rPr>
        <w:t>Compete a la Corte, de conformidad con el numeral 1º del artículo 32 de la Ley 906 de 2004, resolver el recurso de casación formulado</w:t>
      </w:r>
      <w:r w:rsidR="005765B1" w:rsidRPr="00AF1F0F">
        <w:rPr>
          <w:rFonts w:ascii="Bookman Old Style" w:hAnsi="Bookman Old Style"/>
          <w:sz w:val="28"/>
          <w:szCs w:val="28"/>
        </w:rPr>
        <w:t xml:space="preserve"> en este asunto</w:t>
      </w:r>
      <w:r w:rsidR="008525C4" w:rsidRPr="00AF1F0F">
        <w:rPr>
          <w:rFonts w:ascii="Bookman Old Style" w:hAnsi="Bookman Old Style"/>
          <w:sz w:val="28"/>
          <w:szCs w:val="28"/>
        </w:rPr>
        <w:t xml:space="preserve"> por el delegado de la fiscalía</w:t>
      </w:r>
      <w:r w:rsidR="005765B1" w:rsidRPr="00AF1F0F">
        <w:rPr>
          <w:rFonts w:ascii="Bookman Old Style" w:hAnsi="Bookman Old Style"/>
          <w:sz w:val="28"/>
          <w:szCs w:val="28"/>
        </w:rPr>
        <w:t xml:space="preserve"> ante los jueces especializados de Arauca.</w:t>
      </w:r>
    </w:p>
    <w:p w14:paraId="589A3C92" w14:textId="3E3C4762" w:rsidR="005765B1" w:rsidRPr="00AF1F0F" w:rsidRDefault="008525C4" w:rsidP="0037296E">
      <w:pPr>
        <w:pStyle w:val="Sangradetextonormal"/>
        <w:tabs>
          <w:tab w:val="left" w:pos="8505"/>
        </w:tabs>
        <w:spacing w:after="0" w:line="360" w:lineRule="auto"/>
        <w:ind w:left="0" w:right="51" w:firstLine="709"/>
        <w:jc w:val="both"/>
        <w:rPr>
          <w:rFonts w:ascii="Bookman Old Style" w:hAnsi="Bookman Old Style"/>
          <w:sz w:val="28"/>
          <w:szCs w:val="28"/>
        </w:rPr>
      </w:pPr>
      <w:r w:rsidRPr="00AF1F0F">
        <w:rPr>
          <w:rFonts w:ascii="Bookman Old Style" w:hAnsi="Bookman Old Style"/>
          <w:sz w:val="28"/>
          <w:szCs w:val="28"/>
        </w:rPr>
        <w:lastRenderedPageBreak/>
        <w:t xml:space="preserve"> </w:t>
      </w:r>
      <w:r w:rsidR="005765B1" w:rsidRPr="00AF1F0F">
        <w:rPr>
          <w:rFonts w:ascii="Bookman Old Style" w:hAnsi="Bookman Old Style"/>
          <w:sz w:val="28"/>
          <w:szCs w:val="28"/>
        </w:rPr>
        <w:t>2. Para esos efectos, dada la fundamentación de los cargos propuestos en ella, así como las alegaciones que en audiencia de sustentación expusieron los demás sujetos procesales, se examinará: i) la naturaleza de la decisión recurrida; ii) la procedencia del recurso extraordinario en su contra; iii) en caso positivo, la viabilidad de computar la prescripción incluyendo el incremento derivado de la condición de servidor público, precisando si el hecho se ejecutó o no, por razón de las funciones desempeñadas o con ocasión de las mismas y iv) el caso concreto, con indicación de los efectos que se produzcan en caso de aplicarse o no dicho incremento.</w:t>
      </w:r>
    </w:p>
    <w:p w14:paraId="184B2D6A" w14:textId="1719EDCA" w:rsidR="005765B1" w:rsidRPr="00AF1F0F" w:rsidRDefault="005765B1" w:rsidP="0037296E">
      <w:pPr>
        <w:pStyle w:val="Sangradetextonormal"/>
        <w:tabs>
          <w:tab w:val="left" w:pos="8505"/>
        </w:tabs>
        <w:spacing w:after="0" w:line="360" w:lineRule="auto"/>
        <w:ind w:left="0" w:right="51" w:firstLine="709"/>
        <w:jc w:val="both"/>
        <w:rPr>
          <w:rFonts w:ascii="Bookman Old Style" w:hAnsi="Bookman Old Style"/>
          <w:sz w:val="28"/>
          <w:szCs w:val="28"/>
        </w:rPr>
      </w:pPr>
    </w:p>
    <w:p w14:paraId="108433E7" w14:textId="4282CC1D" w:rsidR="00634FB4" w:rsidRPr="00AF1F0F" w:rsidRDefault="005765B1" w:rsidP="0037296E">
      <w:pPr>
        <w:pStyle w:val="Sangradetextonormal"/>
        <w:tabs>
          <w:tab w:val="left" w:pos="8505"/>
        </w:tabs>
        <w:spacing w:after="0" w:line="360" w:lineRule="auto"/>
        <w:ind w:left="0" w:right="51" w:firstLine="709"/>
        <w:jc w:val="both"/>
        <w:rPr>
          <w:rFonts w:ascii="Bookman Old Style" w:hAnsi="Bookman Old Style"/>
          <w:sz w:val="28"/>
          <w:szCs w:val="28"/>
        </w:rPr>
      </w:pPr>
      <w:r w:rsidRPr="00AF1F0F">
        <w:rPr>
          <w:rFonts w:ascii="Bookman Old Style" w:hAnsi="Bookman Old Style"/>
          <w:sz w:val="28"/>
          <w:szCs w:val="28"/>
        </w:rPr>
        <w:t xml:space="preserve">3. Por lo primero, </w:t>
      </w:r>
      <w:r w:rsidR="0037296E" w:rsidRPr="00AF1F0F">
        <w:rPr>
          <w:rFonts w:ascii="Bookman Old Style" w:hAnsi="Bookman Old Style"/>
          <w:sz w:val="28"/>
          <w:szCs w:val="28"/>
        </w:rPr>
        <w:t>descontado que el recurso de casación procede contra las sentencias de segunda instancia, ninguna duda cabe que, en este asunto, la decisión recurrida responde a tal noción, mirada desde la oportunidad, sus efectos y su contenido.</w:t>
      </w:r>
    </w:p>
    <w:p w14:paraId="0044FC65" w14:textId="77777777"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sz w:val="28"/>
          <w:szCs w:val="28"/>
        </w:rPr>
      </w:pPr>
    </w:p>
    <w:p w14:paraId="3B9A7AC8" w14:textId="521C4690"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sz w:val="28"/>
          <w:szCs w:val="28"/>
        </w:rPr>
      </w:pPr>
      <w:r w:rsidRPr="00AF1F0F">
        <w:rPr>
          <w:rFonts w:ascii="Bookman Old Style" w:hAnsi="Bookman Old Style"/>
          <w:sz w:val="28"/>
          <w:szCs w:val="28"/>
        </w:rPr>
        <w:t>La oportunidad, puesto que resolvió el recurso de apelación contra el fallo de primer grado; el efecto, porque tuvo la capacidad de revocarlo y su contenido, en cuanto finalmente se resolvió sobre uno de los extremos del proceso que permitía ni más ni menos, su adelantamiento, cual es la vigencia de la acción penal.</w:t>
      </w:r>
    </w:p>
    <w:p w14:paraId="2810F014" w14:textId="77777777"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sz w:val="28"/>
          <w:szCs w:val="28"/>
        </w:rPr>
      </w:pPr>
    </w:p>
    <w:p w14:paraId="4E577B92" w14:textId="43B19D8F"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sz w:val="28"/>
          <w:szCs w:val="28"/>
        </w:rPr>
      </w:pPr>
      <w:r w:rsidRPr="00AF1F0F">
        <w:rPr>
          <w:rFonts w:ascii="Bookman Old Style" w:hAnsi="Bookman Old Style"/>
          <w:sz w:val="28"/>
          <w:szCs w:val="28"/>
        </w:rPr>
        <w:t xml:space="preserve">No significa lo último, sin embargo, que toda decisión de preclusión por prescripción responda al concepto de sentencia, pues esa sola circunstancia no permite calificarla de tal; resulta indispensable, como ha ocurrido en este </w:t>
      </w:r>
      <w:r w:rsidRPr="00AF1F0F">
        <w:rPr>
          <w:rFonts w:ascii="Bookman Old Style" w:hAnsi="Bookman Old Style"/>
          <w:sz w:val="28"/>
          <w:szCs w:val="28"/>
        </w:rPr>
        <w:lastRenderedPageBreak/>
        <w:t>asunto, que concurran las demás ya señaladas, referidas a la oportunidad y a su efecto o potencialidad.</w:t>
      </w:r>
    </w:p>
    <w:p w14:paraId="75D9DA52" w14:textId="77777777"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sz w:val="28"/>
          <w:szCs w:val="28"/>
        </w:rPr>
      </w:pPr>
    </w:p>
    <w:p w14:paraId="382DF156" w14:textId="0C85A77A" w:rsidR="0037296E" w:rsidRPr="00AF1F0F" w:rsidRDefault="0037296E" w:rsidP="0037296E">
      <w:pPr>
        <w:pStyle w:val="Sangradetextonormal"/>
        <w:tabs>
          <w:tab w:val="left" w:pos="8505"/>
        </w:tabs>
        <w:spacing w:after="0" w:line="360" w:lineRule="auto"/>
        <w:ind w:left="0" w:right="51" w:firstLine="709"/>
        <w:jc w:val="both"/>
        <w:rPr>
          <w:rFonts w:ascii="Bookman Old Style" w:hAnsi="Bookman Old Style"/>
          <w:i/>
          <w:iCs/>
          <w:sz w:val="28"/>
          <w:szCs w:val="28"/>
        </w:rPr>
      </w:pPr>
      <w:r w:rsidRPr="00AF1F0F">
        <w:rPr>
          <w:rFonts w:ascii="Bookman Old Style" w:hAnsi="Bookman Old Style"/>
          <w:sz w:val="28"/>
          <w:szCs w:val="28"/>
        </w:rPr>
        <w:t>Según lo ha señalado la Sala</w:t>
      </w:r>
      <w:r w:rsidR="00495238" w:rsidRPr="00AF1F0F">
        <w:rPr>
          <w:rFonts w:ascii="Bookman Old Style" w:hAnsi="Bookman Old Style"/>
          <w:sz w:val="28"/>
          <w:szCs w:val="28"/>
        </w:rPr>
        <w:t xml:space="preserve"> (SP-536, 10 de junio de 2026, Rad. 66191)</w:t>
      </w:r>
      <w:r w:rsidRPr="00AF1F0F">
        <w:rPr>
          <w:rFonts w:ascii="Bookman Old Style" w:hAnsi="Bookman Old Style"/>
          <w:sz w:val="28"/>
          <w:szCs w:val="28"/>
        </w:rPr>
        <w:t xml:space="preserve"> </w:t>
      </w:r>
      <w:r w:rsidRPr="00AF1F0F">
        <w:rPr>
          <w:rFonts w:ascii="Bookman Old Style" w:hAnsi="Bookman Old Style"/>
          <w:i/>
          <w:iCs/>
          <w:sz w:val="28"/>
          <w:szCs w:val="28"/>
        </w:rPr>
        <w:t>“se trata de una determinación que pone fin al proceso y por lo tanto, por la oportunidad procesal, se constituye en una sentencia que es controvertible mediante el recurso de casación. De lo contrario, de darle el carácter de auto, pasa lo que pasó en el presente asunto, esto es, que no procede ningún recurso y las partes no pueden debatir si fue acertada o no la determinación adoptada</w:t>
      </w:r>
      <w:r w:rsidR="00495238" w:rsidRPr="00AF1F0F">
        <w:rPr>
          <w:rFonts w:ascii="Bookman Old Style" w:hAnsi="Bookman Old Style"/>
          <w:i/>
          <w:iCs/>
          <w:sz w:val="28"/>
          <w:szCs w:val="28"/>
        </w:rPr>
        <w:t>.</w:t>
      </w:r>
    </w:p>
    <w:p w14:paraId="26EFA8FA" w14:textId="77777777" w:rsidR="00495238" w:rsidRPr="00AF1F0F" w:rsidRDefault="00495238" w:rsidP="0037296E">
      <w:pPr>
        <w:pStyle w:val="Sangradetextonormal"/>
        <w:tabs>
          <w:tab w:val="left" w:pos="8505"/>
        </w:tabs>
        <w:spacing w:after="0" w:line="360" w:lineRule="auto"/>
        <w:ind w:left="0" w:right="51" w:firstLine="709"/>
        <w:jc w:val="both"/>
        <w:rPr>
          <w:rFonts w:ascii="Bookman Old Style" w:hAnsi="Bookman Old Style"/>
          <w:bCs/>
          <w:i/>
          <w:iCs/>
          <w:sz w:val="28"/>
          <w:szCs w:val="28"/>
        </w:rPr>
      </w:pPr>
    </w:p>
    <w:p w14:paraId="4A6EC2E9" w14:textId="7B69B7BA" w:rsidR="00495238" w:rsidRPr="00AF1F0F" w:rsidRDefault="00495238" w:rsidP="00495238">
      <w:pPr>
        <w:pStyle w:val="Cuerpo"/>
        <w:spacing w:line="360" w:lineRule="auto"/>
        <w:ind w:firstLine="708"/>
        <w:jc w:val="both"/>
        <w:rPr>
          <w:rFonts w:ascii="Bookman Old Style" w:hAnsi="Bookman Old Style"/>
          <w:i/>
          <w:iCs/>
          <w:sz w:val="28"/>
          <w:szCs w:val="28"/>
        </w:rPr>
      </w:pPr>
      <w:r w:rsidRPr="00AF1F0F">
        <w:rPr>
          <w:rFonts w:ascii="Bookman Old Style" w:hAnsi="Bookman Old Style"/>
          <w:bCs/>
          <w:i/>
          <w:iCs/>
          <w:sz w:val="28"/>
          <w:szCs w:val="28"/>
        </w:rPr>
        <w:t xml:space="preserve">Ello, incluso, es más visible </w:t>
      </w:r>
      <w:r w:rsidRPr="00AF1F0F">
        <w:rPr>
          <w:rFonts w:ascii="Bookman Old Style" w:hAnsi="Bookman Old Style"/>
          <w:i/>
          <w:iCs/>
          <w:sz w:val="28"/>
          <w:szCs w:val="28"/>
        </w:rPr>
        <w:t xml:space="preserve">en los casos en que, se reitera, en resolución de la alzada, la declaratoria de la preclusión es el resultado de la resolución del fondo del conflicto, como puede ser la </w:t>
      </w:r>
      <w:r w:rsidRPr="00AF1F0F">
        <w:rPr>
          <w:rFonts w:ascii="Bookman Old Style" w:hAnsi="Bookman Old Style"/>
          <w:i/>
          <w:iCs/>
          <w:sz w:val="26"/>
          <w:szCs w:val="26"/>
        </w:rPr>
        <w:t>tipicidad</w:t>
      </w:r>
      <w:r w:rsidRPr="00AF1F0F">
        <w:rPr>
          <w:rFonts w:ascii="Bookman Old Style" w:hAnsi="Bookman Old Style"/>
          <w:i/>
          <w:iCs/>
          <w:sz w:val="28"/>
          <w:szCs w:val="28"/>
        </w:rPr>
        <w:t xml:space="preserve"> de los hechos, pues aquello es un </w:t>
      </w:r>
      <w:r w:rsidRPr="00AF1F0F">
        <w:rPr>
          <w:rFonts w:ascii="Bookman Old Style" w:eastAsia="Calibri" w:hAnsi="Bookman Old Style"/>
          <w:i/>
          <w:iCs/>
          <w:sz w:val="28"/>
          <w:szCs w:val="28"/>
        </w:rPr>
        <w:t xml:space="preserve">aspecto </w:t>
      </w:r>
      <w:r w:rsidRPr="00AF1F0F">
        <w:rPr>
          <w:rFonts w:ascii="Bookman Old Style" w:hAnsi="Bookman Old Style"/>
          <w:i/>
          <w:iCs/>
          <w:sz w:val="28"/>
          <w:szCs w:val="28"/>
        </w:rPr>
        <w:t>propio de una sentencia.</w:t>
      </w:r>
    </w:p>
    <w:p w14:paraId="163844DB" w14:textId="77777777" w:rsidR="00495238" w:rsidRPr="00AF1F0F" w:rsidRDefault="00495238" w:rsidP="00495238">
      <w:pPr>
        <w:pStyle w:val="Cuerpo"/>
        <w:spacing w:line="360" w:lineRule="auto"/>
        <w:ind w:firstLine="708"/>
        <w:jc w:val="both"/>
        <w:rPr>
          <w:rFonts w:ascii="Bookman Old Style" w:hAnsi="Bookman Old Style"/>
          <w:i/>
          <w:iCs/>
          <w:sz w:val="28"/>
          <w:szCs w:val="28"/>
        </w:rPr>
      </w:pPr>
    </w:p>
    <w:p w14:paraId="4EF6E1E6" w14:textId="77777777" w:rsidR="00495238" w:rsidRPr="00AF1F0F" w:rsidRDefault="00495238" w:rsidP="00495238">
      <w:pPr>
        <w:pStyle w:val="Cuerpo"/>
        <w:spacing w:line="360" w:lineRule="auto"/>
        <w:ind w:firstLine="708"/>
        <w:jc w:val="both"/>
        <w:rPr>
          <w:rFonts w:ascii="Bookman Old Style" w:hAnsi="Bookman Old Style"/>
          <w:i/>
          <w:iCs/>
          <w:sz w:val="28"/>
          <w:szCs w:val="28"/>
        </w:rPr>
      </w:pPr>
      <w:r w:rsidRPr="00AF1F0F">
        <w:rPr>
          <w:rFonts w:ascii="Bookman Old Style" w:hAnsi="Bookman Old Style"/>
          <w:i/>
          <w:iCs/>
          <w:sz w:val="28"/>
          <w:szCs w:val="28"/>
        </w:rPr>
        <w:t xml:space="preserve">Y es que el Tribunal bien puede variar la calificación jurídica consignada en el fallo de primer grado, ya sea, por ejemplo, por la aplicación </w:t>
      </w:r>
      <w:r w:rsidRPr="00AF1F0F">
        <w:rPr>
          <w:rFonts w:ascii="Bookman Old Style" w:hAnsi="Bookman Old Style"/>
          <w:i/>
          <w:iCs/>
          <w:sz w:val="26"/>
          <w:szCs w:val="26"/>
        </w:rPr>
        <w:t>–o la inaplicación-</w:t>
      </w:r>
      <w:r w:rsidRPr="00AF1F0F">
        <w:rPr>
          <w:rFonts w:ascii="Bookman Old Style" w:hAnsi="Bookman Old Style"/>
          <w:i/>
          <w:iCs/>
          <w:sz w:val="28"/>
          <w:szCs w:val="28"/>
        </w:rPr>
        <w:t xml:space="preserve"> de una circunstancia de agravación punitiva o por cambiar el delito por uno más favorable, de acuerdo con lo probado en el juicio oral.</w:t>
      </w:r>
    </w:p>
    <w:p w14:paraId="22E19A67" w14:textId="77777777" w:rsidR="00495238" w:rsidRPr="00AF1F0F" w:rsidRDefault="00495238" w:rsidP="00495238">
      <w:pPr>
        <w:pStyle w:val="Cuerpo"/>
        <w:spacing w:line="360" w:lineRule="auto"/>
        <w:ind w:firstLine="708"/>
        <w:jc w:val="both"/>
        <w:rPr>
          <w:rFonts w:ascii="Bookman Old Style" w:hAnsi="Bookman Old Style"/>
          <w:i/>
          <w:iCs/>
          <w:sz w:val="28"/>
          <w:szCs w:val="28"/>
        </w:rPr>
      </w:pPr>
    </w:p>
    <w:p w14:paraId="1EA1F542" w14:textId="7045051A" w:rsidR="00495238" w:rsidRPr="00AF1F0F" w:rsidRDefault="00495238" w:rsidP="00495238">
      <w:pPr>
        <w:pStyle w:val="Cuerpo"/>
        <w:spacing w:line="360" w:lineRule="auto"/>
        <w:ind w:firstLine="708"/>
        <w:jc w:val="both"/>
        <w:rPr>
          <w:rFonts w:ascii="Bookman Old Style" w:hAnsi="Bookman Old Style" w:cs="Arial"/>
          <w:spacing w:val="-3"/>
          <w:sz w:val="28"/>
          <w:szCs w:val="28"/>
        </w:rPr>
      </w:pPr>
      <w:r w:rsidRPr="00AF1F0F">
        <w:rPr>
          <w:rFonts w:ascii="Bookman Old Style" w:hAnsi="Bookman Old Style" w:cs="Arial"/>
          <w:i/>
          <w:iCs/>
          <w:spacing w:val="-3"/>
          <w:sz w:val="28"/>
          <w:szCs w:val="28"/>
        </w:rPr>
        <w:t xml:space="preserve">Si ello es así, es decir, si en el proveído en cuestión se analiza de fondo un asunto en particular </w:t>
      </w:r>
      <w:r w:rsidRPr="00AF1F0F">
        <w:rPr>
          <w:rFonts w:ascii="Bookman Old Style" w:hAnsi="Bookman Old Style" w:cs="Arial"/>
          <w:i/>
          <w:iCs/>
          <w:spacing w:val="-3"/>
          <w:sz w:val="28"/>
          <w:szCs w:val="26"/>
        </w:rPr>
        <w:t xml:space="preserve">que no está relacionado con la preclusión de la acción penal </w:t>
      </w:r>
      <w:r w:rsidRPr="00AF1F0F">
        <w:rPr>
          <w:rFonts w:ascii="Bookman Old Style" w:hAnsi="Bookman Old Style" w:cs="Arial"/>
          <w:i/>
          <w:iCs/>
          <w:spacing w:val="-3"/>
          <w:sz w:val="26"/>
          <w:szCs w:val="26"/>
        </w:rPr>
        <w:t>–que es una cuestión secundaria que no resuelve el conflicto principal-</w:t>
      </w:r>
      <w:r w:rsidRPr="00AF1F0F">
        <w:rPr>
          <w:rFonts w:ascii="Bookman Old Style" w:hAnsi="Bookman Old Style" w:cs="Arial"/>
          <w:i/>
          <w:iCs/>
          <w:spacing w:val="-3"/>
          <w:sz w:val="28"/>
          <w:szCs w:val="28"/>
        </w:rPr>
        <w:t xml:space="preserve"> y, al definirlo, la calificación jurídica de los hechos varía y lleva a </w:t>
      </w:r>
      <w:r w:rsidRPr="00AF1F0F">
        <w:rPr>
          <w:rFonts w:ascii="Bookman Old Style" w:hAnsi="Bookman Old Style" w:cs="Arial"/>
          <w:i/>
          <w:iCs/>
          <w:spacing w:val="-3"/>
          <w:sz w:val="28"/>
          <w:szCs w:val="28"/>
        </w:rPr>
        <w:lastRenderedPageBreak/>
        <w:t xml:space="preserve">reexaminar el término de la prescripción, la decisión, incluso al decretarla, será una sentencia y no un auto interlocutorio, pues, se insiste, se está resolviendo el objeto del proceso </w:t>
      </w:r>
      <w:r w:rsidRPr="00AF1F0F">
        <w:rPr>
          <w:rFonts w:ascii="Bookman Old Style" w:hAnsi="Bookman Old Style" w:cs="Arial"/>
          <w:i/>
          <w:iCs/>
          <w:spacing w:val="-3"/>
          <w:sz w:val="26"/>
          <w:szCs w:val="26"/>
        </w:rPr>
        <w:t>(art. 161, Ley 906 de 2004)”</w:t>
      </w:r>
      <w:r w:rsidRPr="00AF1F0F">
        <w:rPr>
          <w:rFonts w:ascii="Bookman Old Style" w:hAnsi="Bookman Old Style" w:cs="Arial"/>
          <w:spacing w:val="-3"/>
          <w:sz w:val="28"/>
          <w:szCs w:val="28"/>
        </w:rPr>
        <w:t>.</w:t>
      </w:r>
    </w:p>
    <w:p w14:paraId="3AC7D732" w14:textId="464AB85F" w:rsidR="00634FB4" w:rsidRPr="00AF1F0F" w:rsidRDefault="00634FB4" w:rsidP="00634FB4">
      <w:pPr>
        <w:spacing w:after="0" w:line="360" w:lineRule="auto"/>
        <w:ind w:right="51" w:firstLine="709"/>
        <w:jc w:val="both"/>
        <w:rPr>
          <w:rFonts w:ascii="Bookman Old Style" w:hAnsi="Bookman Old Style"/>
          <w:bCs/>
          <w:iCs/>
          <w:sz w:val="28"/>
          <w:szCs w:val="28"/>
        </w:rPr>
      </w:pPr>
    </w:p>
    <w:p w14:paraId="7B13522B" w14:textId="573C6EBD" w:rsidR="00495238" w:rsidRPr="00AF1F0F" w:rsidRDefault="00495238" w:rsidP="00634FB4">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O, en sentencia SP088 del 18 de febrero de 2026, rad 69947:</w:t>
      </w:r>
    </w:p>
    <w:p w14:paraId="467B752F" w14:textId="77777777" w:rsidR="00495238" w:rsidRPr="00AF1F0F" w:rsidRDefault="00495238" w:rsidP="00634FB4">
      <w:pPr>
        <w:spacing w:after="0" w:line="360" w:lineRule="auto"/>
        <w:ind w:right="51" w:firstLine="709"/>
        <w:jc w:val="both"/>
        <w:rPr>
          <w:rFonts w:ascii="Bookman Old Style" w:hAnsi="Bookman Old Style"/>
          <w:bCs/>
          <w:iCs/>
          <w:sz w:val="28"/>
          <w:szCs w:val="28"/>
        </w:rPr>
      </w:pPr>
    </w:p>
    <w:p w14:paraId="2E188218" w14:textId="121405B1" w:rsidR="00495238" w:rsidRPr="00AF1F0F" w:rsidRDefault="00495238" w:rsidP="00634FB4">
      <w:pPr>
        <w:spacing w:after="0" w:line="360" w:lineRule="auto"/>
        <w:ind w:right="51" w:firstLine="709"/>
        <w:jc w:val="both"/>
        <w:rPr>
          <w:rFonts w:ascii="Bookman Old Style" w:hAnsi="Bookman Old Style"/>
          <w:bCs/>
          <w:i/>
          <w:sz w:val="28"/>
          <w:szCs w:val="28"/>
        </w:rPr>
      </w:pPr>
      <w:r w:rsidRPr="00AF1F0F">
        <w:rPr>
          <w:rFonts w:ascii="Bookman Old Style" w:hAnsi="Bookman Old Style"/>
          <w:bCs/>
          <w:i/>
          <w:sz w:val="28"/>
          <w:szCs w:val="28"/>
        </w:rPr>
        <w:t>“En ese sentido, no existe duda de que lo resuelto constituye una sentencia en los términos del artículo 161 del Código de Procedimiento Penal. Se entró a resolver, en segunda instancia, sobre uno de los extremos del proceso penal, a saber, la legalidad de la adecuación típica de la conducta objeto de juzgamiento y sus consecuencias procesales. 36. Asimilar la decisión del ad quem a un auto interlocutorio, frustraría el acceso a la justicia de la parte afectada, en este caso una mujer víctima de violencia intrafamiliar. Este tipo de decisiones en segunda instancia no tienen recurso de apelación, pero tampoco recurso extraordinario de casación. Por lo tanto, no podría ser recurrida a pesar de haber decidido un aspecto sustancial del proceso. La variación de la adecuación jurídica de la conducta imputada que se hizo en segunda instancia, tuvo como efecto la extinción de la acción penal y la consecuente nulidad de lo actuado, todo esto en perjuicio de la víctima. Expresado de otro modo, la acción penal prescribió porque en la sentencia de segunda instancia se modificó la adecuación jurídica de la conducta imputada. De allí que la providencia recurrida en sede extraordinaria es una sentencia”.</w:t>
      </w:r>
    </w:p>
    <w:p w14:paraId="731E9BB3" w14:textId="77777777" w:rsidR="00495238" w:rsidRPr="00AF1F0F" w:rsidRDefault="00495238" w:rsidP="00634FB4">
      <w:pPr>
        <w:spacing w:after="0" w:line="360" w:lineRule="auto"/>
        <w:ind w:right="51" w:firstLine="709"/>
        <w:jc w:val="both"/>
        <w:rPr>
          <w:rFonts w:ascii="Bookman Old Style" w:hAnsi="Bookman Old Style"/>
          <w:bCs/>
          <w:iCs/>
          <w:sz w:val="28"/>
          <w:szCs w:val="28"/>
        </w:rPr>
      </w:pPr>
    </w:p>
    <w:p w14:paraId="021225E5" w14:textId="3E19B6EE" w:rsidR="00495238" w:rsidRPr="00AF1F0F" w:rsidRDefault="00495238" w:rsidP="00634FB4">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lastRenderedPageBreak/>
        <w:t xml:space="preserve">En este asunto, se definió sobre la vigencia de la acción penal a partir de </w:t>
      </w:r>
      <w:r w:rsidR="00C73EAF" w:rsidRPr="00AF1F0F">
        <w:rPr>
          <w:rFonts w:ascii="Bookman Old Style" w:hAnsi="Bookman Old Style"/>
          <w:bCs/>
          <w:iCs/>
          <w:sz w:val="28"/>
          <w:szCs w:val="28"/>
        </w:rPr>
        <w:t>admitirse</w:t>
      </w:r>
      <w:r w:rsidRPr="00AF1F0F">
        <w:rPr>
          <w:rFonts w:ascii="Bookman Old Style" w:hAnsi="Bookman Old Style"/>
          <w:bCs/>
          <w:iCs/>
          <w:sz w:val="28"/>
          <w:szCs w:val="28"/>
        </w:rPr>
        <w:t xml:space="preserve"> por el ad quem, en contra de lo señalado por el juez de primera instancia, la imposibilidad de aplicarse el incremento prescriptivo derivado de la condición de servidor público porque, a su juicio, el tráfico de estupefacientes, no lo cometió el acusado en ejercicio de sus funciones de patrullero de la Policía Nacional, ni con ocasión de las mismas, contenido que, sin equívoco alguno, </w:t>
      </w:r>
      <w:r w:rsidR="00C73EAF" w:rsidRPr="00AF1F0F">
        <w:rPr>
          <w:rFonts w:ascii="Bookman Old Style" w:hAnsi="Bookman Old Style"/>
          <w:bCs/>
          <w:iCs/>
          <w:sz w:val="28"/>
          <w:szCs w:val="28"/>
        </w:rPr>
        <w:t>implicó la variación de dicha circunstancia y, desde luego, de los hechos que incluyeron, en la acusación, la hipótesis de que los estupefacientes vendidos por el acusado correspondían a incautaciones de los mismos en operativos policiales en los que había participado.</w:t>
      </w:r>
    </w:p>
    <w:p w14:paraId="35DE6128" w14:textId="77777777" w:rsidR="00C73EAF" w:rsidRPr="00AF1F0F" w:rsidRDefault="00C73EAF" w:rsidP="00634FB4">
      <w:pPr>
        <w:spacing w:after="0" w:line="360" w:lineRule="auto"/>
        <w:ind w:right="51" w:firstLine="709"/>
        <w:jc w:val="both"/>
        <w:rPr>
          <w:rFonts w:ascii="Bookman Old Style" w:hAnsi="Bookman Old Style"/>
          <w:bCs/>
          <w:iCs/>
          <w:sz w:val="28"/>
          <w:szCs w:val="28"/>
        </w:rPr>
      </w:pPr>
    </w:p>
    <w:p w14:paraId="792900A9" w14:textId="48EB8497" w:rsidR="005765B1" w:rsidRPr="00AF1F0F" w:rsidRDefault="005765B1" w:rsidP="00634FB4">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 xml:space="preserve">Por tanto, la decisión </w:t>
      </w:r>
      <w:r w:rsidR="00A35004" w:rsidRPr="00AF1F0F">
        <w:rPr>
          <w:rFonts w:ascii="Bookman Old Style" w:hAnsi="Bookman Old Style"/>
          <w:bCs/>
          <w:iCs/>
          <w:sz w:val="28"/>
          <w:szCs w:val="28"/>
        </w:rPr>
        <w:t>cuestionada</w:t>
      </w:r>
      <w:r w:rsidRPr="00AF1F0F">
        <w:rPr>
          <w:rFonts w:ascii="Bookman Old Style" w:hAnsi="Bookman Old Style"/>
          <w:bCs/>
          <w:iCs/>
          <w:sz w:val="28"/>
          <w:szCs w:val="28"/>
        </w:rPr>
        <w:t xml:space="preserve"> responde al concepto de sentencia y en esa condición es susceptible de ser recurrida en casación, como en efecto lo ha hecho la fiscalía.</w:t>
      </w:r>
    </w:p>
    <w:p w14:paraId="606FCD84" w14:textId="77777777" w:rsidR="00AF1F0F" w:rsidRPr="00AF1F0F" w:rsidRDefault="00AF1F0F" w:rsidP="00634FB4">
      <w:pPr>
        <w:spacing w:after="0" w:line="360" w:lineRule="auto"/>
        <w:ind w:right="51" w:firstLine="709"/>
        <w:jc w:val="both"/>
        <w:rPr>
          <w:rFonts w:ascii="Bookman Old Style" w:hAnsi="Bookman Old Style"/>
          <w:bCs/>
          <w:iCs/>
          <w:sz w:val="28"/>
          <w:szCs w:val="28"/>
        </w:rPr>
      </w:pPr>
    </w:p>
    <w:p w14:paraId="12A58CEE" w14:textId="2815A90B" w:rsidR="00C73EAF" w:rsidRPr="00AF1F0F" w:rsidRDefault="00A35004" w:rsidP="00634FB4">
      <w:pPr>
        <w:spacing w:after="0" w:line="360" w:lineRule="auto"/>
        <w:ind w:right="51" w:firstLine="709"/>
        <w:jc w:val="both"/>
        <w:rPr>
          <w:rFonts w:ascii="Bookman Old Style" w:hAnsi="Bookman Old Style"/>
          <w:bCs/>
          <w:iCs/>
          <w:sz w:val="28"/>
          <w:szCs w:val="28"/>
        </w:rPr>
      </w:pPr>
      <w:r w:rsidRPr="00AF1F0F">
        <w:rPr>
          <w:rFonts w:ascii="Bookman Old Style" w:hAnsi="Bookman Old Style"/>
          <w:bCs/>
          <w:iCs/>
          <w:sz w:val="28"/>
          <w:szCs w:val="28"/>
        </w:rPr>
        <w:t>4</w:t>
      </w:r>
      <w:r w:rsidR="00C73EAF" w:rsidRPr="00AF1F0F">
        <w:rPr>
          <w:rFonts w:ascii="Bookman Old Style" w:hAnsi="Bookman Old Style"/>
          <w:bCs/>
          <w:iCs/>
          <w:sz w:val="28"/>
          <w:szCs w:val="28"/>
        </w:rPr>
        <w:t>. Sentado ese elemental supuesto de procedencia del recurso extraordinario, el examen de las sentencias de instancia y de la demanda de casación, permiten señalar que el debate se centra</w:t>
      </w:r>
      <w:r w:rsidRPr="00AF1F0F">
        <w:rPr>
          <w:rFonts w:ascii="Bookman Old Style" w:hAnsi="Bookman Old Style"/>
          <w:bCs/>
          <w:iCs/>
          <w:sz w:val="28"/>
          <w:szCs w:val="28"/>
        </w:rPr>
        <w:t xml:space="preserve"> ahora</w:t>
      </w:r>
      <w:r w:rsidR="00C73EAF" w:rsidRPr="00AF1F0F">
        <w:rPr>
          <w:rFonts w:ascii="Bookman Old Style" w:hAnsi="Bookman Old Style"/>
          <w:bCs/>
          <w:iCs/>
          <w:sz w:val="28"/>
          <w:szCs w:val="28"/>
        </w:rPr>
        <w:t>, en determinar, si es viable o no incrementar el lapso de prescripción, considerada la condición de servidor público que para el momento de los hechos ostentaba el acusado, comprendido, por demás, que</w:t>
      </w:r>
      <w:r w:rsidRPr="00AF1F0F">
        <w:rPr>
          <w:rFonts w:ascii="Bookman Old Style" w:hAnsi="Bookman Old Style"/>
          <w:bCs/>
          <w:iCs/>
          <w:sz w:val="28"/>
          <w:szCs w:val="28"/>
        </w:rPr>
        <w:t>,</w:t>
      </w:r>
      <w:r w:rsidR="00C73EAF" w:rsidRPr="00AF1F0F">
        <w:rPr>
          <w:rFonts w:ascii="Bookman Old Style" w:hAnsi="Bookman Old Style"/>
          <w:bCs/>
          <w:iCs/>
          <w:sz w:val="28"/>
          <w:szCs w:val="28"/>
        </w:rPr>
        <w:t xml:space="preserve"> finalmente</w:t>
      </w:r>
      <w:r w:rsidRPr="00AF1F0F">
        <w:rPr>
          <w:rFonts w:ascii="Bookman Old Style" w:hAnsi="Bookman Old Style"/>
          <w:bCs/>
          <w:iCs/>
          <w:sz w:val="28"/>
          <w:szCs w:val="28"/>
        </w:rPr>
        <w:t>, a éste se le condenó por el a quo como responsable de un</w:t>
      </w:r>
      <w:r w:rsidR="00C73EAF" w:rsidRPr="00AF1F0F">
        <w:rPr>
          <w:rFonts w:ascii="Bookman Old Style" w:hAnsi="Bookman Old Style"/>
          <w:bCs/>
          <w:iCs/>
          <w:sz w:val="28"/>
          <w:szCs w:val="28"/>
        </w:rPr>
        <w:t xml:space="preserve"> evento tipificado </w:t>
      </w:r>
      <w:r w:rsidRPr="00AF1F0F">
        <w:rPr>
          <w:rFonts w:ascii="Bookman Old Style" w:hAnsi="Bookman Old Style"/>
          <w:bCs/>
          <w:iCs/>
          <w:sz w:val="28"/>
          <w:szCs w:val="28"/>
        </w:rPr>
        <w:t>en el</w:t>
      </w:r>
      <w:r w:rsidR="00C73EAF" w:rsidRPr="00AF1F0F">
        <w:rPr>
          <w:rFonts w:ascii="Bookman Old Style" w:hAnsi="Bookman Old Style"/>
          <w:bCs/>
          <w:iCs/>
          <w:sz w:val="28"/>
          <w:szCs w:val="28"/>
        </w:rPr>
        <w:t xml:space="preserve"> tráfico de estupefacientes</w:t>
      </w:r>
      <w:r w:rsidRPr="00AF1F0F">
        <w:rPr>
          <w:rFonts w:ascii="Bookman Old Style" w:hAnsi="Bookman Old Style"/>
          <w:bCs/>
          <w:iCs/>
          <w:sz w:val="28"/>
          <w:szCs w:val="28"/>
        </w:rPr>
        <w:t xml:space="preserve">, pero, desde luego, según quedó explicitado en la acusación, en dicho fallo y debidamente probado, en </w:t>
      </w:r>
      <w:r w:rsidRPr="00AF1F0F">
        <w:rPr>
          <w:rFonts w:ascii="Bookman Old Style" w:hAnsi="Bookman Old Style"/>
          <w:bCs/>
          <w:iCs/>
          <w:sz w:val="28"/>
          <w:szCs w:val="28"/>
        </w:rPr>
        <w:lastRenderedPageBreak/>
        <w:t>un contexto que revelaba ciertamente un entorno de corrupción al interior de la institución en ese municipio</w:t>
      </w:r>
      <w:r w:rsidR="00C73EAF" w:rsidRPr="00AF1F0F">
        <w:rPr>
          <w:rFonts w:ascii="Bookman Old Style" w:hAnsi="Bookman Old Style"/>
          <w:bCs/>
          <w:iCs/>
          <w:sz w:val="28"/>
          <w:szCs w:val="28"/>
        </w:rPr>
        <w:t>.</w:t>
      </w:r>
    </w:p>
    <w:p w14:paraId="1A0C1E3B" w14:textId="0F77A84B" w:rsidR="00C73EAF" w:rsidRPr="00AF1F0F" w:rsidRDefault="00C73EAF" w:rsidP="00634FB4">
      <w:pPr>
        <w:spacing w:after="0" w:line="360" w:lineRule="auto"/>
        <w:ind w:right="51" w:firstLine="709"/>
        <w:jc w:val="both"/>
        <w:rPr>
          <w:rFonts w:ascii="Bookman Old Style" w:hAnsi="Bookman Old Style"/>
          <w:bCs/>
          <w:iCs/>
          <w:sz w:val="28"/>
          <w:szCs w:val="28"/>
        </w:rPr>
      </w:pPr>
    </w:p>
    <w:p w14:paraId="7C7FEF5A" w14:textId="27AC8B4D" w:rsidR="00F97E09" w:rsidRPr="00AF1F0F" w:rsidRDefault="00F97E09" w:rsidP="004C3FE7">
      <w:pPr>
        <w:spacing w:after="0" w:line="360" w:lineRule="auto"/>
        <w:ind w:right="51" w:firstLine="709"/>
        <w:jc w:val="both"/>
        <w:rPr>
          <w:rFonts w:ascii="Bookman Old Style" w:hAnsi="Bookman Old Style"/>
          <w:bCs/>
          <w:i/>
          <w:sz w:val="28"/>
          <w:szCs w:val="28"/>
        </w:rPr>
      </w:pPr>
      <w:r w:rsidRPr="00AF1F0F">
        <w:rPr>
          <w:rFonts w:ascii="Bookman Old Style" w:hAnsi="Bookman Old Style"/>
          <w:bCs/>
          <w:iCs/>
          <w:sz w:val="28"/>
          <w:szCs w:val="28"/>
        </w:rPr>
        <w:t xml:space="preserve">Es que, de conformidad con el artículo 83 de la Ley 599 de 2000, </w:t>
      </w:r>
      <w:r w:rsidRPr="00AF1F0F">
        <w:rPr>
          <w:rFonts w:ascii="Bookman Old Style" w:hAnsi="Bookman Old Style"/>
          <w:bCs/>
          <w:i/>
          <w:sz w:val="28"/>
          <w:szCs w:val="28"/>
        </w:rPr>
        <w:t>“al servidor público que en ejercicio de las funciones del cargo o con ocasión de ellas realice una conducta punible o participe en ella, el término de prescripción de aumentará en la mitad”</w:t>
      </w:r>
      <w:r w:rsidRPr="00AF1F0F">
        <w:rPr>
          <w:rFonts w:ascii="Bookman Old Style" w:hAnsi="Bookman Old Style"/>
          <w:bCs/>
          <w:iCs/>
          <w:sz w:val="28"/>
          <w:szCs w:val="28"/>
        </w:rPr>
        <w:t>, lo que equivale a sostener que la simple calidad no es suficiente para aplicar ese incremento, es necesario</w:t>
      </w:r>
      <w:r w:rsidR="004C3FE7" w:rsidRPr="00AF1F0F">
        <w:rPr>
          <w:rFonts w:ascii="Bookman Old Style" w:hAnsi="Bookman Old Style"/>
          <w:bCs/>
          <w:iCs/>
          <w:sz w:val="28"/>
          <w:szCs w:val="28"/>
        </w:rPr>
        <w:t>,</w:t>
      </w:r>
      <w:r w:rsidRPr="00AF1F0F">
        <w:rPr>
          <w:rFonts w:ascii="Bookman Old Style" w:hAnsi="Bookman Old Style"/>
          <w:bCs/>
          <w:iCs/>
          <w:sz w:val="28"/>
          <w:szCs w:val="28"/>
        </w:rPr>
        <w:t xml:space="preserve"> además, que la conducta punible haya sido ejecutada por el servidor público en ejercicio de las funciones del cargo o con ocasión de ellas. </w:t>
      </w:r>
    </w:p>
    <w:p w14:paraId="2168D254" w14:textId="4D59B3AF" w:rsidR="004C3FE7" w:rsidRPr="00AF1F0F" w:rsidRDefault="004C3FE7" w:rsidP="004C3FE7">
      <w:pPr>
        <w:spacing w:after="0" w:line="360" w:lineRule="auto"/>
        <w:ind w:right="51" w:firstLine="709"/>
        <w:jc w:val="both"/>
        <w:rPr>
          <w:rFonts w:ascii="Bookman Old Style" w:hAnsi="Bookman Old Style"/>
          <w:bCs/>
          <w:i/>
          <w:sz w:val="28"/>
          <w:szCs w:val="28"/>
        </w:rPr>
      </w:pPr>
    </w:p>
    <w:p w14:paraId="5483299D" w14:textId="3D168AE3" w:rsidR="004C3FE7" w:rsidRPr="00AF1F0F" w:rsidRDefault="004C3FE7" w:rsidP="004C3FE7">
      <w:pPr>
        <w:spacing w:after="0" w:line="360" w:lineRule="auto"/>
        <w:ind w:right="51" w:firstLine="709"/>
        <w:jc w:val="both"/>
        <w:rPr>
          <w:rFonts w:ascii="Bookman Old Style" w:hAnsi="Bookman Old Style"/>
          <w:bCs/>
          <w:i/>
          <w:sz w:val="28"/>
          <w:szCs w:val="28"/>
          <w:lang w:val="es-CO"/>
        </w:rPr>
      </w:pPr>
      <w:r w:rsidRPr="00AF1F0F">
        <w:rPr>
          <w:rFonts w:ascii="Bookman Old Style" w:hAnsi="Bookman Old Style"/>
          <w:bCs/>
          <w:iCs/>
          <w:sz w:val="28"/>
          <w:szCs w:val="28"/>
        </w:rPr>
        <w:t>Esto es, según reiterada jurisprudencia (</w:t>
      </w:r>
      <w:r w:rsidRPr="00AF1F0F">
        <w:rPr>
          <w:rFonts w:ascii="Bookman Old Style" w:hAnsi="Bookman Old Style"/>
          <w:bCs/>
          <w:iCs/>
          <w:sz w:val="28"/>
          <w:szCs w:val="28"/>
          <w:lang w:val="es-CO"/>
        </w:rPr>
        <w:t>CSJ- SP 17 abr. 2013 Rad. 40.938), que</w:t>
      </w:r>
      <w:r w:rsidRPr="00AF1F0F">
        <w:rPr>
          <w:rFonts w:ascii="Bookman Old Style" w:hAnsi="Bookman Old Style"/>
          <w:bCs/>
          <w:i/>
          <w:sz w:val="28"/>
          <w:szCs w:val="28"/>
        </w:rPr>
        <w:t xml:space="preserve"> </w:t>
      </w:r>
      <w:r w:rsidRPr="00AF1F0F">
        <w:rPr>
          <w:rFonts w:ascii="Bookman Old Style" w:hAnsi="Bookman Old Style" w:cs="Arial"/>
          <w:bCs/>
          <w:i/>
          <w:sz w:val="28"/>
          <w:szCs w:val="28"/>
        </w:rPr>
        <w:t>“</w:t>
      </w:r>
      <w:r w:rsidRPr="00AF1F0F">
        <w:rPr>
          <w:rFonts w:ascii="Bookman Old Style" w:hAnsi="Bookman Old Style"/>
          <w:bCs/>
          <w:i/>
          <w:sz w:val="28"/>
          <w:szCs w:val="28"/>
        </w:rPr>
        <w:t xml:space="preserve">la aplicación del incremento no sólo procede cuando el delito guarda relación directa con las tareas oficiales desempeñadas por el servidor, sino también cuando entre el delito y la función media una relación de ocasión u oportunidad, es decir, cuando el sujeto aprovecha su vinculación funcional para privilegiar o favorecer la comisión del ilícito”. </w:t>
      </w:r>
    </w:p>
    <w:p w14:paraId="747A5088" w14:textId="24DAF48B" w:rsidR="004C3FE7" w:rsidRPr="00AF1F0F" w:rsidRDefault="004C3FE7" w:rsidP="004C3FE7">
      <w:pPr>
        <w:spacing w:after="0" w:line="360" w:lineRule="auto"/>
        <w:ind w:right="51" w:firstLine="709"/>
        <w:jc w:val="both"/>
        <w:rPr>
          <w:rFonts w:ascii="Bookman Old Style" w:hAnsi="Bookman Old Style"/>
          <w:bCs/>
          <w:iCs/>
          <w:sz w:val="28"/>
          <w:szCs w:val="28"/>
          <w:lang w:val="es-CO"/>
        </w:rPr>
      </w:pPr>
    </w:p>
    <w:p w14:paraId="7EE4364F" w14:textId="21045718" w:rsidR="004C3FE7" w:rsidRPr="00AF1F0F" w:rsidRDefault="004C3FE7" w:rsidP="004C3FE7">
      <w:pPr>
        <w:spacing w:after="0" w:line="360" w:lineRule="auto"/>
        <w:ind w:right="51" w:firstLine="709"/>
        <w:jc w:val="both"/>
        <w:rPr>
          <w:rFonts w:ascii="Bookman Old Style" w:hAnsi="Bookman Old Style"/>
          <w:bCs/>
          <w:iCs/>
          <w:sz w:val="28"/>
          <w:szCs w:val="28"/>
          <w:lang w:val="es-CO"/>
        </w:rPr>
      </w:pPr>
      <w:r w:rsidRPr="00AF1F0F">
        <w:rPr>
          <w:rFonts w:ascii="Bookman Old Style" w:hAnsi="Bookman Old Style"/>
          <w:bCs/>
          <w:iCs/>
          <w:sz w:val="28"/>
          <w:szCs w:val="28"/>
          <w:lang w:val="es-CO"/>
        </w:rPr>
        <w:t>5. En el caso en examen, bien se advierte que la venta de marihuana por parte del patrullero acusado no fue realizada en el ejercicio de las funciones de su cargo por ser incuestionable que una actividad de esa clase no está incluida en el catálogo de sus atribuciones</w:t>
      </w:r>
      <w:r w:rsidR="00423F6C" w:rsidRPr="00AF1F0F">
        <w:rPr>
          <w:rFonts w:ascii="Bookman Old Style" w:hAnsi="Bookman Old Style"/>
          <w:bCs/>
          <w:iCs/>
          <w:sz w:val="28"/>
          <w:szCs w:val="28"/>
          <w:lang w:val="es-CO"/>
        </w:rPr>
        <w:t>, no es una acción que guarde relación directa con las que le conciernen como miembro de la SIJIN de la Policía Nacional</w:t>
      </w:r>
      <w:r w:rsidRPr="00AF1F0F">
        <w:rPr>
          <w:rFonts w:ascii="Bookman Old Style" w:hAnsi="Bookman Old Style"/>
          <w:bCs/>
          <w:iCs/>
          <w:sz w:val="28"/>
          <w:szCs w:val="28"/>
          <w:lang w:val="es-CO"/>
        </w:rPr>
        <w:t xml:space="preserve">. </w:t>
      </w:r>
    </w:p>
    <w:p w14:paraId="3DD8A22E" w14:textId="77777777" w:rsidR="004C3FE7" w:rsidRPr="00AF1F0F" w:rsidRDefault="004C3FE7" w:rsidP="004C3FE7">
      <w:pPr>
        <w:spacing w:after="0" w:line="360" w:lineRule="auto"/>
        <w:ind w:right="51" w:firstLine="709"/>
        <w:jc w:val="both"/>
        <w:rPr>
          <w:rFonts w:ascii="Bookman Old Style" w:hAnsi="Bookman Old Style"/>
          <w:bCs/>
          <w:iCs/>
          <w:sz w:val="28"/>
          <w:szCs w:val="28"/>
          <w:lang w:val="es-CO"/>
        </w:rPr>
      </w:pPr>
    </w:p>
    <w:p w14:paraId="41898FC0" w14:textId="621D53C4" w:rsidR="004C3FE7" w:rsidRPr="00AF1F0F" w:rsidRDefault="004C3FE7" w:rsidP="004C3FE7">
      <w:pPr>
        <w:spacing w:after="0" w:line="360" w:lineRule="auto"/>
        <w:ind w:right="51" w:firstLine="709"/>
        <w:jc w:val="both"/>
        <w:rPr>
          <w:rFonts w:ascii="Bookman Old Style" w:hAnsi="Bookman Old Style"/>
          <w:bCs/>
          <w:iCs/>
          <w:sz w:val="28"/>
          <w:szCs w:val="28"/>
          <w:lang w:val="es-CO"/>
        </w:rPr>
      </w:pPr>
      <w:r w:rsidRPr="00AF1F0F">
        <w:rPr>
          <w:rFonts w:ascii="Bookman Old Style" w:hAnsi="Bookman Old Style"/>
          <w:bCs/>
          <w:iCs/>
          <w:sz w:val="28"/>
          <w:szCs w:val="28"/>
          <w:lang w:val="es-CO"/>
        </w:rPr>
        <w:lastRenderedPageBreak/>
        <w:t>Pero no puede decirse lo mismo</w:t>
      </w:r>
      <w:r w:rsidR="00423F6C" w:rsidRPr="00AF1F0F">
        <w:rPr>
          <w:rFonts w:ascii="Bookman Old Style" w:hAnsi="Bookman Old Style"/>
          <w:bCs/>
          <w:iCs/>
          <w:sz w:val="28"/>
          <w:szCs w:val="28"/>
          <w:lang w:val="es-CO"/>
        </w:rPr>
        <w:t xml:space="preserve"> cuando se habla de la relación ocasional con las funciones, porque en ese respecto sí debe afirmarse que el acusado, investigador de la institución policial, aprovechó la ocasión u oportunidad que le daban las facultades de su cargo para involucrarse en una actividad que, precisamente por su condición, le era conocida, en cuanto como miembro de la Policía Nacional no solo la combatía, sino que intervenía en operativos donde se incautaban sustancias ilícitas.</w:t>
      </w:r>
    </w:p>
    <w:p w14:paraId="5BDE00C2" w14:textId="6ECFF4A1" w:rsidR="004C3FE7" w:rsidRPr="00AF1F0F" w:rsidRDefault="004C3FE7" w:rsidP="004C3FE7">
      <w:pPr>
        <w:spacing w:line="360" w:lineRule="auto"/>
        <w:ind w:right="51" w:firstLine="709"/>
        <w:jc w:val="both"/>
        <w:rPr>
          <w:rFonts w:ascii="Bookman Old Style" w:hAnsi="Bookman Old Style"/>
          <w:bCs/>
          <w:iCs/>
          <w:sz w:val="28"/>
          <w:szCs w:val="28"/>
          <w:lang w:val="es-CO"/>
        </w:rPr>
      </w:pPr>
    </w:p>
    <w:p w14:paraId="3598750E" w14:textId="77777777" w:rsidR="00423F6C" w:rsidRPr="00AF1F0F" w:rsidRDefault="00423F6C" w:rsidP="00423F6C">
      <w:pPr>
        <w:spacing w:after="0" w:line="360" w:lineRule="auto"/>
        <w:ind w:right="51" w:firstLine="709"/>
        <w:jc w:val="both"/>
        <w:rPr>
          <w:rFonts w:ascii="Bookman Old Style" w:hAnsi="Bookman Old Style" w:cs="Arial"/>
          <w:bCs/>
          <w:iCs/>
          <w:sz w:val="28"/>
          <w:szCs w:val="28"/>
        </w:rPr>
      </w:pPr>
      <w:r w:rsidRPr="00AF1F0F">
        <w:rPr>
          <w:rFonts w:ascii="Bookman Old Style" w:hAnsi="Bookman Old Style" w:cs="Arial"/>
          <w:bCs/>
          <w:iCs/>
          <w:sz w:val="28"/>
          <w:szCs w:val="28"/>
        </w:rPr>
        <w:t>El procesado, entonces, servidor público, miembro de la unidad investigativa de la Policía Nacional, incurrió en el punible de tráfico de estupefacientes con ocasión de las funciones que ejercía en la institución</w:t>
      </w:r>
      <w:r w:rsidR="004C3FE7" w:rsidRPr="00AF1F0F">
        <w:rPr>
          <w:rFonts w:ascii="Bookman Old Style" w:hAnsi="Bookman Old Style" w:cs="Arial"/>
          <w:bCs/>
          <w:i/>
          <w:sz w:val="28"/>
          <w:szCs w:val="28"/>
        </w:rPr>
        <w:t xml:space="preserve">, </w:t>
      </w:r>
      <w:r w:rsidR="004C3FE7" w:rsidRPr="00AF1F0F">
        <w:rPr>
          <w:rFonts w:ascii="Bookman Old Style" w:hAnsi="Bookman Old Style" w:cs="Arial"/>
          <w:bCs/>
          <w:iCs/>
          <w:sz w:val="28"/>
          <w:szCs w:val="28"/>
        </w:rPr>
        <w:t>por e</w:t>
      </w:r>
      <w:r w:rsidRPr="00AF1F0F">
        <w:rPr>
          <w:rFonts w:ascii="Bookman Old Style" w:hAnsi="Bookman Old Style" w:cs="Arial"/>
          <w:bCs/>
          <w:iCs/>
          <w:sz w:val="28"/>
          <w:szCs w:val="28"/>
        </w:rPr>
        <w:t>s</w:t>
      </w:r>
      <w:r w:rsidR="004C3FE7" w:rsidRPr="00AF1F0F">
        <w:rPr>
          <w:rFonts w:ascii="Bookman Old Style" w:hAnsi="Bookman Old Style" w:cs="Arial"/>
          <w:bCs/>
          <w:iCs/>
          <w:sz w:val="28"/>
          <w:szCs w:val="28"/>
        </w:rPr>
        <w:t>o, es procedente la aplicación del incremento en el término de prescripción de la acción penal, en tanto que entre el delito y la función medi</w:t>
      </w:r>
      <w:r w:rsidRPr="00AF1F0F">
        <w:rPr>
          <w:rFonts w:ascii="Bookman Old Style" w:hAnsi="Bookman Old Style" w:cs="Arial"/>
          <w:bCs/>
          <w:iCs/>
          <w:sz w:val="28"/>
          <w:szCs w:val="28"/>
        </w:rPr>
        <w:t>ó</w:t>
      </w:r>
      <w:r w:rsidR="004C3FE7" w:rsidRPr="00AF1F0F">
        <w:rPr>
          <w:rFonts w:ascii="Bookman Old Style" w:hAnsi="Bookman Old Style" w:cs="Arial"/>
          <w:bCs/>
          <w:iCs/>
          <w:sz w:val="28"/>
          <w:szCs w:val="28"/>
        </w:rPr>
        <w:t xml:space="preserve"> una relación de ocasión u oportunidad, lo que quiere decir que </w:t>
      </w:r>
      <w:r w:rsidRPr="00AF1F0F">
        <w:rPr>
          <w:rFonts w:ascii="Bookman Old Style" w:hAnsi="Bookman Old Style" w:cs="Arial"/>
          <w:bCs/>
          <w:iCs/>
          <w:sz w:val="28"/>
          <w:szCs w:val="28"/>
        </w:rPr>
        <w:t>e</w:t>
      </w:r>
      <w:r w:rsidR="004C3FE7" w:rsidRPr="00AF1F0F">
        <w:rPr>
          <w:rFonts w:ascii="Bookman Old Style" w:hAnsi="Bookman Old Style" w:cs="Arial"/>
          <w:bCs/>
          <w:iCs/>
          <w:sz w:val="28"/>
          <w:szCs w:val="28"/>
        </w:rPr>
        <w:t>l acusad</w:t>
      </w:r>
      <w:r w:rsidRPr="00AF1F0F">
        <w:rPr>
          <w:rFonts w:ascii="Bookman Old Style" w:hAnsi="Bookman Old Style" w:cs="Arial"/>
          <w:bCs/>
          <w:iCs/>
          <w:sz w:val="28"/>
          <w:szCs w:val="28"/>
        </w:rPr>
        <w:t>o</w:t>
      </w:r>
      <w:r w:rsidR="004C3FE7" w:rsidRPr="00AF1F0F">
        <w:rPr>
          <w:rFonts w:ascii="Bookman Old Style" w:hAnsi="Bookman Old Style" w:cs="Arial"/>
          <w:bCs/>
          <w:iCs/>
          <w:sz w:val="28"/>
          <w:szCs w:val="28"/>
        </w:rPr>
        <w:t xml:space="preserve"> aprovechó su vinculación funcional para privilegiar o favorecer la comisión de la conducta delictual</w:t>
      </w:r>
      <w:r w:rsidRPr="00AF1F0F">
        <w:rPr>
          <w:rFonts w:ascii="Bookman Old Style" w:hAnsi="Bookman Old Style" w:cs="Arial"/>
          <w:bCs/>
          <w:iCs/>
          <w:sz w:val="28"/>
          <w:szCs w:val="28"/>
        </w:rPr>
        <w:t>.</w:t>
      </w:r>
    </w:p>
    <w:p w14:paraId="16CFCF10" w14:textId="3D47635E" w:rsidR="00423F6C" w:rsidRPr="00AF1F0F" w:rsidRDefault="00423F6C" w:rsidP="00423F6C">
      <w:pPr>
        <w:spacing w:after="0" w:line="360" w:lineRule="auto"/>
        <w:ind w:right="51" w:firstLine="709"/>
        <w:jc w:val="both"/>
        <w:rPr>
          <w:rFonts w:ascii="Bookman Old Style" w:hAnsi="Bookman Old Style" w:cs="Arial"/>
          <w:bCs/>
          <w:iCs/>
          <w:sz w:val="28"/>
          <w:szCs w:val="28"/>
        </w:rPr>
      </w:pPr>
    </w:p>
    <w:p w14:paraId="0408D1DF" w14:textId="61CFE01E" w:rsidR="0048590F" w:rsidRPr="00AF1F0F" w:rsidRDefault="00423F6C" w:rsidP="0048590F">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bCs/>
          <w:iCs/>
          <w:sz w:val="28"/>
          <w:szCs w:val="28"/>
        </w:rPr>
        <w:t>Eso fue posible establecer, merced a las pesquisas adelantadas por los investigadores</w:t>
      </w:r>
      <w:r w:rsidR="0048590F" w:rsidRPr="00AF1F0F">
        <w:rPr>
          <w:rFonts w:ascii="Bookman Old Style" w:hAnsi="Bookman Old Style" w:cs="Arial"/>
          <w:bCs/>
          <w:iCs/>
          <w:sz w:val="28"/>
          <w:szCs w:val="28"/>
        </w:rPr>
        <w:t xml:space="preserve"> </w:t>
      </w:r>
      <w:r w:rsidR="0048590F" w:rsidRPr="00AF1F0F">
        <w:rPr>
          <w:rFonts w:ascii="Bookman Old Style" w:hAnsi="Bookman Old Style" w:cs="Arial"/>
          <w:sz w:val="28"/>
          <w:szCs w:val="28"/>
        </w:rPr>
        <w:t xml:space="preserve">Jéssica Paola García Melo, con quien se aportaron las imágenes captadas por el agente encubierto al momento de efectuar la compra controlada del estupefaciente; Augusto Rafael Aldana, quien declaró cómo, a partir del conocimiento sobre los actos de corrupción protagonizados por el acusado, se acudió a la figura del agente encubierto; Jhon Renmart Cabrillas, quien </w:t>
      </w:r>
      <w:r w:rsidR="0048590F" w:rsidRPr="00AF1F0F">
        <w:rPr>
          <w:rFonts w:ascii="Bookman Old Style" w:hAnsi="Bookman Old Style" w:cs="Arial"/>
          <w:sz w:val="28"/>
          <w:szCs w:val="28"/>
        </w:rPr>
        <w:lastRenderedPageBreak/>
        <w:t>depuso en torno a las comunicaciones telefónicas interceptadas, especialmente las que refieren la participación de por lo menos cinco miembros de la Policía, desde lo cual es posible inferir, como se ha dicho por el recurrente, que la actividad ilícita del acusado se enmarcó ciertamente en un contexto de corrupción al interior de la institución, o la que da cuenta de la capacidad que el patrullero acusado tenía, en efecto, para comercializar estupefacientes, a lo que, sin duda tenía acceso gracias al conocimiento, a la oportunidad que le daba sus funciones de miembro de la SIJIN-Arauca</w:t>
      </w:r>
    </w:p>
    <w:p w14:paraId="6DE41F38" w14:textId="77777777" w:rsidR="0048590F" w:rsidRPr="00AF1F0F" w:rsidRDefault="0048590F" w:rsidP="0048590F">
      <w:pPr>
        <w:pStyle w:val="Textoindependiente2"/>
        <w:spacing w:after="0" w:line="360" w:lineRule="auto"/>
        <w:ind w:right="51" w:firstLine="709"/>
        <w:jc w:val="both"/>
        <w:rPr>
          <w:rFonts w:ascii="Bookman Old Style" w:hAnsi="Bookman Old Style" w:cs="Arial"/>
          <w:sz w:val="28"/>
          <w:szCs w:val="28"/>
        </w:rPr>
      </w:pPr>
    </w:p>
    <w:p w14:paraId="3B89A433" w14:textId="64F4C705" w:rsidR="0048590F" w:rsidRPr="00AF1F0F" w:rsidRDefault="0048590F" w:rsidP="0048590F">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Más evidente se advierte ese aprovechamiento de las funciones o esa relación ocasional entre éstas y la comisión del delito cuando, a través del investigador de la defensa</w:t>
      </w:r>
      <w:r w:rsidR="00C24353" w:rsidRPr="00AF1F0F">
        <w:rPr>
          <w:rFonts w:ascii="Bookman Old Style" w:hAnsi="Bookman Old Style" w:cs="Arial"/>
          <w:sz w:val="28"/>
          <w:szCs w:val="28"/>
        </w:rPr>
        <w:t>,</w:t>
      </w:r>
      <w:r w:rsidRPr="00AF1F0F">
        <w:rPr>
          <w:rFonts w:ascii="Bookman Old Style" w:hAnsi="Bookman Old Style" w:cs="Arial"/>
          <w:sz w:val="28"/>
          <w:szCs w:val="28"/>
        </w:rPr>
        <w:t xml:space="preserve"> José Ricardo Artunduaga y las copias que del libro radicador de entradas y salidas se aportaron con él, se</w:t>
      </w:r>
      <w:r w:rsidR="00C24353" w:rsidRPr="00AF1F0F">
        <w:rPr>
          <w:rFonts w:ascii="Bookman Old Style" w:hAnsi="Bookman Old Style" w:cs="Arial"/>
          <w:sz w:val="28"/>
          <w:szCs w:val="28"/>
        </w:rPr>
        <w:t xml:space="preserve"> estableció que</w:t>
      </w:r>
      <w:r w:rsidRPr="00AF1F0F">
        <w:rPr>
          <w:rFonts w:ascii="Bookman Old Style" w:hAnsi="Bookman Old Style" w:cs="Arial"/>
          <w:sz w:val="28"/>
          <w:szCs w:val="28"/>
        </w:rPr>
        <w:t xml:space="preserve"> el acusado salió el 20 de octubre de 2017 a </w:t>
      </w:r>
      <w:r w:rsidR="00C24353" w:rsidRPr="00AF1F0F">
        <w:rPr>
          <w:rFonts w:ascii="Bookman Old Style" w:hAnsi="Bookman Old Style" w:cs="Arial"/>
          <w:sz w:val="28"/>
          <w:szCs w:val="28"/>
        </w:rPr>
        <w:t>tempranas horas de la mañana</w:t>
      </w:r>
      <w:r w:rsidRPr="00AF1F0F">
        <w:rPr>
          <w:rFonts w:ascii="Bookman Old Style" w:hAnsi="Bookman Old Style" w:cs="Arial"/>
          <w:sz w:val="28"/>
          <w:szCs w:val="28"/>
        </w:rPr>
        <w:t xml:space="preserve"> con destino a la estación de gasolina en la motocicleta institucional de placas CHL87C y siglas 330229</w:t>
      </w:r>
      <w:r w:rsidR="00C24353" w:rsidRPr="00AF1F0F">
        <w:rPr>
          <w:rFonts w:ascii="Bookman Old Style" w:hAnsi="Bookman Old Style" w:cs="Arial"/>
          <w:sz w:val="28"/>
          <w:szCs w:val="28"/>
        </w:rPr>
        <w:t>,</w:t>
      </w:r>
      <w:r w:rsidRPr="00AF1F0F">
        <w:rPr>
          <w:rFonts w:ascii="Bookman Old Style" w:hAnsi="Bookman Old Style" w:cs="Arial"/>
          <w:sz w:val="28"/>
          <w:szCs w:val="28"/>
        </w:rPr>
        <w:t xml:space="preserve"> pues, esto significa que se hallaba de servicio para el momento de los hechos y utilizando el vehículo oficial</w:t>
      </w:r>
      <w:r w:rsidR="00C24353" w:rsidRPr="00AF1F0F">
        <w:rPr>
          <w:rFonts w:ascii="Bookman Old Style" w:hAnsi="Bookman Old Style" w:cs="Arial"/>
          <w:sz w:val="28"/>
          <w:szCs w:val="28"/>
        </w:rPr>
        <w:t>, lo que por demás es constatado con la minuta de servicio donde se incluye al acusado para prestar sus servicios ese día en la facción de logística.</w:t>
      </w:r>
    </w:p>
    <w:p w14:paraId="2A6D0901" w14:textId="77777777" w:rsidR="0048590F" w:rsidRPr="00AF1F0F" w:rsidRDefault="0048590F" w:rsidP="0048590F">
      <w:pPr>
        <w:pStyle w:val="Textoindependiente2"/>
        <w:spacing w:after="0" w:line="360" w:lineRule="auto"/>
        <w:ind w:right="51" w:firstLine="709"/>
        <w:jc w:val="both"/>
        <w:rPr>
          <w:rFonts w:ascii="Bookman Old Style" w:hAnsi="Bookman Old Style" w:cs="Arial"/>
          <w:sz w:val="28"/>
          <w:szCs w:val="28"/>
        </w:rPr>
      </w:pPr>
    </w:p>
    <w:p w14:paraId="32EF054D" w14:textId="0A6F3C3F" w:rsidR="00AA1095" w:rsidRPr="00AF1F0F" w:rsidRDefault="00C24353" w:rsidP="00236C3B">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Tampoco</w:t>
      </w:r>
      <w:r w:rsidR="00AA1095" w:rsidRPr="00AF1F0F">
        <w:rPr>
          <w:rFonts w:ascii="Bookman Old Style" w:hAnsi="Bookman Old Style" w:cs="Arial"/>
          <w:sz w:val="28"/>
          <w:szCs w:val="28"/>
        </w:rPr>
        <w:t xml:space="preserve"> el tribunal tuvo en cuenta </w:t>
      </w:r>
      <w:r w:rsidRPr="00AF1F0F">
        <w:rPr>
          <w:rFonts w:ascii="Bookman Old Style" w:hAnsi="Bookman Old Style" w:cs="Arial"/>
          <w:sz w:val="28"/>
          <w:szCs w:val="28"/>
        </w:rPr>
        <w:t>estas pruebas, de ahí que</w:t>
      </w:r>
      <w:r w:rsidR="0054259D">
        <w:rPr>
          <w:rFonts w:ascii="Bookman Old Style" w:hAnsi="Bookman Old Style" w:cs="Arial"/>
          <w:sz w:val="28"/>
          <w:szCs w:val="28"/>
        </w:rPr>
        <w:t>,</w:t>
      </w:r>
      <w:r w:rsidRPr="00AF1F0F">
        <w:rPr>
          <w:rFonts w:ascii="Bookman Old Style" w:hAnsi="Bookman Old Style" w:cs="Arial"/>
          <w:sz w:val="28"/>
          <w:szCs w:val="28"/>
        </w:rPr>
        <w:t xml:space="preserve"> se constituya el error de hecho denunciado por el demandante por</w:t>
      </w:r>
      <w:r w:rsidR="00AA1095" w:rsidRPr="00AF1F0F">
        <w:rPr>
          <w:rFonts w:ascii="Bookman Old Style" w:hAnsi="Bookman Old Style" w:cs="Arial"/>
          <w:sz w:val="28"/>
          <w:szCs w:val="28"/>
        </w:rPr>
        <w:t>que</w:t>
      </w:r>
      <w:r w:rsidR="008F2F96" w:rsidRPr="00AF1F0F">
        <w:rPr>
          <w:rFonts w:ascii="Bookman Old Style" w:hAnsi="Bookman Old Style" w:cs="Arial"/>
          <w:sz w:val="28"/>
          <w:szCs w:val="28"/>
        </w:rPr>
        <w:t>,</w:t>
      </w:r>
      <w:r w:rsidRPr="00AF1F0F">
        <w:rPr>
          <w:rFonts w:ascii="Bookman Old Style" w:hAnsi="Bookman Old Style" w:cs="Arial"/>
          <w:sz w:val="28"/>
          <w:szCs w:val="28"/>
        </w:rPr>
        <w:t xml:space="preserve"> en efecto, además de obrar los testimonios de los investigadores mencionados, las </w:t>
      </w:r>
      <w:r w:rsidRPr="00AF1F0F">
        <w:rPr>
          <w:rFonts w:ascii="Bookman Old Style" w:hAnsi="Bookman Old Style" w:cs="Arial"/>
          <w:sz w:val="28"/>
          <w:szCs w:val="28"/>
        </w:rPr>
        <w:lastRenderedPageBreak/>
        <w:t xml:space="preserve">interceptaciones telefónicas y el informe en torno al agente encubierto, </w:t>
      </w:r>
      <w:r w:rsidR="00AA1095" w:rsidRPr="00AF1F0F">
        <w:rPr>
          <w:rFonts w:ascii="Bookman Old Style" w:hAnsi="Bookman Old Style" w:cs="Arial"/>
          <w:sz w:val="28"/>
          <w:szCs w:val="28"/>
        </w:rPr>
        <w:t xml:space="preserve">el testigo de la defensa y los documentos que con él se incorporaron, </w:t>
      </w:r>
      <w:r w:rsidR="00CA6BC5" w:rsidRPr="00AF1F0F">
        <w:rPr>
          <w:rFonts w:ascii="Bookman Old Style" w:hAnsi="Bookman Old Style" w:cs="Arial"/>
          <w:sz w:val="28"/>
          <w:szCs w:val="28"/>
        </w:rPr>
        <w:t>no cabe duda que, además del contexto en que él se desenvolvía para efectos de su ilícita actividad, quedó demostrado alrededor del evento individualmente considerado referido a la compra controlada, que el patrullero se encontraba de servicio y que aprovechó su función de llevar la motocicleta al taller, para, de paso, vender el estupefaciente al agente encubierto.</w:t>
      </w:r>
    </w:p>
    <w:p w14:paraId="40FCC88F" w14:textId="77777777" w:rsidR="008F2F96" w:rsidRPr="00AF1F0F" w:rsidRDefault="008F2F96" w:rsidP="00236C3B">
      <w:pPr>
        <w:pStyle w:val="Textoindependiente2"/>
        <w:spacing w:after="0" w:line="360" w:lineRule="auto"/>
        <w:ind w:right="51" w:firstLine="709"/>
        <w:jc w:val="both"/>
        <w:rPr>
          <w:rFonts w:ascii="Bookman Old Style" w:hAnsi="Bookman Old Style" w:cs="Arial"/>
          <w:sz w:val="28"/>
          <w:szCs w:val="28"/>
        </w:rPr>
      </w:pPr>
    </w:p>
    <w:p w14:paraId="10E1AD2B" w14:textId="6A01EFD6" w:rsidR="00CA6BC5" w:rsidRPr="00AF1F0F" w:rsidRDefault="00C96BEE" w:rsidP="00CA6BC5">
      <w:pPr>
        <w:spacing w:after="0" w:line="360" w:lineRule="auto"/>
        <w:ind w:right="51" w:firstLine="709"/>
        <w:jc w:val="both"/>
        <w:rPr>
          <w:rFonts w:ascii="Bookman Old Style" w:hAnsi="Bookman Old Style"/>
          <w:bCs/>
          <w:i/>
          <w:sz w:val="28"/>
          <w:szCs w:val="28"/>
          <w:lang w:val="es-CO"/>
        </w:rPr>
      </w:pPr>
      <w:r w:rsidRPr="00AF1F0F">
        <w:rPr>
          <w:rFonts w:ascii="Bookman Old Style" w:hAnsi="Bookman Old Style" w:cs="Arial"/>
          <w:sz w:val="28"/>
          <w:szCs w:val="28"/>
        </w:rPr>
        <w:t xml:space="preserve">Por tanto, </w:t>
      </w:r>
      <w:r w:rsidR="00CA6BC5" w:rsidRPr="00AF1F0F">
        <w:rPr>
          <w:rFonts w:ascii="Bookman Old Style" w:hAnsi="Bookman Old Style" w:cs="Arial"/>
          <w:sz w:val="28"/>
          <w:szCs w:val="28"/>
        </w:rPr>
        <w:t>quedó demostrado que</w:t>
      </w:r>
      <w:r w:rsidRPr="00AF1F0F">
        <w:rPr>
          <w:rFonts w:ascii="Bookman Old Style" w:hAnsi="Bookman Old Style" w:cs="Arial"/>
          <w:sz w:val="28"/>
          <w:szCs w:val="28"/>
        </w:rPr>
        <w:t xml:space="preserve"> el acusado ostentaba la calidad de servidor público</w:t>
      </w:r>
      <w:r w:rsidR="00CA6BC5" w:rsidRPr="00AF1F0F">
        <w:rPr>
          <w:rFonts w:ascii="Bookman Old Style" w:hAnsi="Bookman Old Style" w:cs="Arial"/>
          <w:sz w:val="28"/>
          <w:szCs w:val="28"/>
        </w:rPr>
        <w:t>,</w:t>
      </w:r>
      <w:r w:rsidRPr="00AF1F0F">
        <w:rPr>
          <w:rFonts w:ascii="Bookman Old Style" w:hAnsi="Bookman Old Style" w:cs="Arial"/>
          <w:sz w:val="28"/>
          <w:szCs w:val="28"/>
        </w:rPr>
        <w:t xml:space="preserve"> se hallaba ejerciendo el cargo para la fecha de ocurrencia de los hechos</w:t>
      </w:r>
      <w:r w:rsidR="00CA6BC5" w:rsidRPr="00AF1F0F">
        <w:rPr>
          <w:rFonts w:ascii="Bookman Old Style" w:hAnsi="Bookman Old Style" w:cs="Arial"/>
          <w:sz w:val="28"/>
          <w:szCs w:val="28"/>
        </w:rPr>
        <w:t xml:space="preserve"> y fue, con ocasión de sus funciones</w:t>
      </w:r>
      <w:r w:rsidRPr="00AF1F0F">
        <w:rPr>
          <w:rFonts w:ascii="Bookman Old Style" w:hAnsi="Bookman Old Style" w:cs="Arial"/>
          <w:sz w:val="28"/>
          <w:szCs w:val="28"/>
        </w:rPr>
        <w:t>,</w:t>
      </w:r>
      <w:r w:rsidR="00CA6BC5" w:rsidRPr="00AF1F0F">
        <w:rPr>
          <w:rFonts w:ascii="Bookman Old Style" w:hAnsi="Bookman Old Style" w:cs="Arial"/>
          <w:sz w:val="28"/>
          <w:szCs w:val="28"/>
        </w:rPr>
        <w:t xml:space="preserve"> que hizo oportuna la venta del estupefaciente</w:t>
      </w:r>
      <w:r w:rsidRPr="00AF1F0F">
        <w:rPr>
          <w:rFonts w:ascii="Bookman Old Style" w:hAnsi="Bookman Old Style" w:cs="Arial"/>
          <w:sz w:val="28"/>
          <w:szCs w:val="28"/>
        </w:rPr>
        <w:t xml:space="preserve">. </w:t>
      </w:r>
      <w:r w:rsidR="00CA6BC5" w:rsidRPr="00AF1F0F">
        <w:rPr>
          <w:rFonts w:ascii="Bookman Old Style" w:hAnsi="Bookman Old Style" w:cs="Arial"/>
          <w:sz w:val="28"/>
          <w:szCs w:val="28"/>
        </w:rPr>
        <w:t>En otras palabras, medió en la ejecución del ilícito una relación de ocasión u oportunidad, de la cual se valió o aprovechó el patrullero para favorecer o privilegiar la comisión del delito que se le imputó</w:t>
      </w:r>
      <w:r w:rsidR="00CA6BC5" w:rsidRPr="00AF1F0F">
        <w:rPr>
          <w:rFonts w:ascii="Bookman Old Style" w:hAnsi="Bookman Old Style"/>
          <w:bCs/>
          <w:i/>
          <w:sz w:val="28"/>
          <w:szCs w:val="28"/>
        </w:rPr>
        <w:t xml:space="preserve">. </w:t>
      </w:r>
    </w:p>
    <w:p w14:paraId="41EFA971" w14:textId="3CBD01EB" w:rsidR="00C96BEE" w:rsidRPr="00AF1F0F" w:rsidRDefault="00C96BEE" w:rsidP="00236C3B">
      <w:pPr>
        <w:pStyle w:val="Textoindependiente2"/>
        <w:spacing w:after="0" w:line="360" w:lineRule="auto"/>
        <w:ind w:right="51" w:firstLine="709"/>
        <w:jc w:val="both"/>
        <w:rPr>
          <w:rFonts w:ascii="Bookman Old Style" w:hAnsi="Bookman Old Style" w:cs="Arial"/>
          <w:sz w:val="28"/>
          <w:szCs w:val="28"/>
        </w:rPr>
      </w:pPr>
    </w:p>
    <w:p w14:paraId="31CA142D" w14:textId="40AB8657" w:rsidR="009A03FD" w:rsidRPr="00AF1F0F" w:rsidRDefault="00CA6BC5" w:rsidP="00236C3B">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6</w:t>
      </w:r>
      <w:r w:rsidR="00C96BEE" w:rsidRPr="00AF1F0F">
        <w:rPr>
          <w:rFonts w:ascii="Bookman Old Style" w:hAnsi="Bookman Old Style" w:cs="Arial"/>
          <w:sz w:val="28"/>
          <w:szCs w:val="28"/>
        </w:rPr>
        <w:t xml:space="preserve">. Por tanto, en esas condiciones, </w:t>
      </w:r>
      <w:r w:rsidRPr="00AF1F0F">
        <w:rPr>
          <w:rFonts w:ascii="Bookman Old Style" w:hAnsi="Bookman Old Style" w:cs="Arial"/>
          <w:sz w:val="28"/>
          <w:szCs w:val="28"/>
        </w:rPr>
        <w:t>como resulta legalmente</w:t>
      </w:r>
      <w:r w:rsidR="00C96BEE" w:rsidRPr="00AF1F0F">
        <w:rPr>
          <w:rFonts w:ascii="Bookman Old Style" w:hAnsi="Bookman Old Style" w:cs="Arial"/>
          <w:sz w:val="28"/>
          <w:szCs w:val="28"/>
        </w:rPr>
        <w:t xml:space="preserve"> procedente aplicar el incremento previsto en el inciso 6º del artículo 83 del Código Penal, significa que la</w:t>
      </w:r>
      <w:r w:rsidR="009A03FD" w:rsidRPr="00AF1F0F">
        <w:rPr>
          <w:rFonts w:ascii="Bookman Old Style" w:hAnsi="Bookman Old Style" w:cs="Arial"/>
          <w:sz w:val="28"/>
          <w:szCs w:val="28"/>
        </w:rPr>
        <w:t xml:space="preserve"> acción penal no ha prescrito, tal como lo demanda la fiscalía y lo reiteran la delegada ante la Corte y el Ministerio Público</w:t>
      </w:r>
      <w:r w:rsidR="00FC69FD" w:rsidRPr="00AF1F0F">
        <w:rPr>
          <w:rFonts w:ascii="Bookman Old Style" w:hAnsi="Bookman Old Style" w:cs="Arial"/>
          <w:sz w:val="28"/>
          <w:szCs w:val="28"/>
        </w:rPr>
        <w:t>, por lo cual la sentencia será casada.</w:t>
      </w:r>
    </w:p>
    <w:p w14:paraId="0CF3BD57" w14:textId="77777777" w:rsidR="009A03FD" w:rsidRPr="00AF1F0F" w:rsidRDefault="009A03FD" w:rsidP="00236C3B">
      <w:pPr>
        <w:pStyle w:val="Textoindependiente2"/>
        <w:spacing w:after="0" w:line="360" w:lineRule="auto"/>
        <w:ind w:right="51" w:firstLine="709"/>
        <w:jc w:val="both"/>
        <w:rPr>
          <w:rFonts w:ascii="Bookman Old Style" w:hAnsi="Bookman Old Style" w:cs="Arial"/>
          <w:sz w:val="28"/>
          <w:szCs w:val="28"/>
        </w:rPr>
      </w:pPr>
    </w:p>
    <w:p w14:paraId="211BD79A" w14:textId="090EB10F" w:rsidR="009A03FD" w:rsidRPr="00AF1F0F" w:rsidRDefault="009A03FD" w:rsidP="00236C3B">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 xml:space="preserve">Es que, el punible objeto de juicio se sanciona, en el inciso 2º del artículo 376 del Código Penal con pena máxima de 108 meses de prisión, por manera que, después de la imputación el lapso prescriptivo es de 54 meses, mas como </w:t>
      </w:r>
      <w:r w:rsidRPr="00AF1F0F">
        <w:rPr>
          <w:rFonts w:ascii="Bookman Old Style" w:hAnsi="Bookman Old Style" w:cs="Arial"/>
          <w:sz w:val="28"/>
          <w:szCs w:val="28"/>
        </w:rPr>
        <w:lastRenderedPageBreak/>
        <w:t>éste se aumenta en la mitad, quiere decir que la extinción de la acción se produce por el transcurso de 81 meses contados desde la formulación de imputación y se suspende con la sentencia de segunda instancia.</w:t>
      </w:r>
    </w:p>
    <w:p w14:paraId="13AB51B0" w14:textId="2E697A1F" w:rsidR="009A03FD" w:rsidRPr="00AF1F0F" w:rsidRDefault="009A03FD" w:rsidP="00236C3B">
      <w:pPr>
        <w:pStyle w:val="Textoindependiente2"/>
        <w:spacing w:after="0" w:line="360" w:lineRule="auto"/>
        <w:ind w:right="51" w:firstLine="709"/>
        <w:jc w:val="both"/>
        <w:rPr>
          <w:rFonts w:ascii="Bookman Old Style" w:hAnsi="Bookman Old Style" w:cs="Arial"/>
          <w:sz w:val="28"/>
          <w:szCs w:val="28"/>
        </w:rPr>
      </w:pPr>
    </w:p>
    <w:p w14:paraId="1F7EBF0C" w14:textId="1D66171D" w:rsidR="009A03FD" w:rsidRPr="00AF1F0F" w:rsidRDefault="009A03FD" w:rsidP="00236C3B">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En este caso, la imputación es del 24 de octubre de 2018 y la sentencia del ad quem del 27 de febrero de 2025</w:t>
      </w:r>
      <w:r w:rsidR="00FC69FD" w:rsidRPr="00AF1F0F">
        <w:rPr>
          <w:rFonts w:ascii="Bookman Old Style" w:hAnsi="Bookman Old Style" w:cs="Arial"/>
          <w:sz w:val="28"/>
          <w:szCs w:val="28"/>
        </w:rPr>
        <w:t>, de suerte que, entre una y otra, pasaron 76 meses y 3 días.</w:t>
      </w:r>
    </w:p>
    <w:p w14:paraId="627AD5B9" w14:textId="0F4D8E3A" w:rsidR="00FC69FD" w:rsidRPr="00AF1F0F" w:rsidRDefault="00FC69FD" w:rsidP="00893B82">
      <w:pPr>
        <w:pStyle w:val="Textoindependiente2"/>
        <w:spacing w:after="0" w:line="360" w:lineRule="auto"/>
        <w:ind w:right="51" w:firstLine="709"/>
        <w:jc w:val="both"/>
        <w:rPr>
          <w:rFonts w:ascii="Bookman Old Style" w:hAnsi="Bookman Old Style" w:cs="Arial"/>
          <w:sz w:val="28"/>
          <w:szCs w:val="28"/>
        </w:rPr>
      </w:pPr>
    </w:p>
    <w:p w14:paraId="3D7CDE31" w14:textId="33331C00" w:rsidR="00D02D57" w:rsidRPr="00AF1F0F" w:rsidRDefault="00FC69FD" w:rsidP="00893B82">
      <w:pPr>
        <w:autoSpaceDE w:val="0"/>
        <w:autoSpaceDN w:val="0"/>
        <w:adjustRightInd w:val="0"/>
        <w:spacing w:after="0" w:line="360" w:lineRule="auto"/>
        <w:ind w:firstLine="709"/>
        <w:jc w:val="both"/>
        <w:rPr>
          <w:rFonts w:ascii="Bookman Old Style" w:eastAsiaTheme="minorHAnsi" w:hAnsi="Bookman Old Style" w:cs="BookmanOldStyle-Bold"/>
          <w:sz w:val="28"/>
          <w:szCs w:val="28"/>
          <w:lang w:val="es-CO"/>
        </w:rPr>
      </w:pPr>
      <w:r w:rsidRPr="00AF1F0F">
        <w:rPr>
          <w:rFonts w:ascii="Bookman Old Style" w:hAnsi="Bookman Old Style" w:cs="Arial"/>
          <w:sz w:val="28"/>
          <w:szCs w:val="28"/>
        </w:rPr>
        <w:t xml:space="preserve">7. </w:t>
      </w:r>
      <w:r w:rsidR="005402A3" w:rsidRPr="00AF1F0F">
        <w:rPr>
          <w:rFonts w:ascii="Bookman Old Style" w:hAnsi="Bookman Old Style" w:cs="Arial"/>
          <w:sz w:val="28"/>
          <w:szCs w:val="28"/>
        </w:rPr>
        <w:t>Ahora, al casarse la sentencia recurrida y habiendo abordado el tribunal solo el problema referido al incremento de la prescripción, omitiendo desde luego, cualquier pronunciamiento sobre los demás cuestionamientos que la defensa hizo, vía recurso de apelación, contra el fallo del a quo, alrededor del estándar para condenar, significa que no hubo en segunda instancia un examen en torno a la existencia de los hechos y la responsabilidad penal del acusado y que el asunto debería retornarle</w:t>
      </w:r>
      <w:r w:rsidR="00893B82" w:rsidRPr="00AF1F0F">
        <w:rPr>
          <w:rFonts w:ascii="Bookman Old Style" w:hAnsi="Bookman Old Style" w:cs="Arial"/>
          <w:sz w:val="28"/>
          <w:szCs w:val="28"/>
        </w:rPr>
        <w:t xml:space="preserve"> al tribunal</w:t>
      </w:r>
      <w:r w:rsidR="005402A3" w:rsidRPr="00AF1F0F">
        <w:rPr>
          <w:rFonts w:ascii="Bookman Old Style" w:hAnsi="Bookman Old Style" w:cs="Arial"/>
          <w:sz w:val="28"/>
          <w:szCs w:val="28"/>
        </w:rPr>
        <w:t xml:space="preserve"> para efecto de que decida sobre dichos aspectos en guarda del principio de la doble instancia, por no serle, además, permitido a la Sala hacerlo, en desmedro de esa garantía y de la correlativa defensa a que tiene derecho el enjuiciado, según así lo dispuso la Corte, en similar asunto, a través de sentencia</w:t>
      </w:r>
      <w:r w:rsidR="00893B82" w:rsidRPr="00AF1F0F">
        <w:rPr>
          <w:rFonts w:ascii="Bookman Old Style" w:hAnsi="Bookman Old Style" w:cs="Arial"/>
          <w:sz w:val="28"/>
          <w:szCs w:val="28"/>
        </w:rPr>
        <w:t xml:space="preserve"> </w:t>
      </w:r>
      <w:r w:rsidR="00893B82" w:rsidRPr="00AF1F0F">
        <w:rPr>
          <w:rFonts w:ascii="Bookman Old Style" w:eastAsiaTheme="minorHAnsi" w:hAnsi="Bookman Old Style" w:cs="BookmanOldStyle-Bold"/>
          <w:sz w:val="28"/>
          <w:szCs w:val="28"/>
          <w:lang w:val="es-CO"/>
        </w:rPr>
        <w:t>SP088 del 18 de febrero de 2026, Radicación N° 69947.</w:t>
      </w:r>
    </w:p>
    <w:p w14:paraId="4AC5F248" w14:textId="26EC9C89" w:rsidR="00893B82" w:rsidRPr="00AF1F0F" w:rsidRDefault="00893B82" w:rsidP="00893B82">
      <w:pPr>
        <w:autoSpaceDE w:val="0"/>
        <w:autoSpaceDN w:val="0"/>
        <w:adjustRightInd w:val="0"/>
        <w:spacing w:after="0" w:line="360" w:lineRule="auto"/>
        <w:ind w:firstLine="709"/>
        <w:jc w:val="both"/>
        <w:rPr>
          <w:rFonts w:ascii="Bookman Old Style" w:eastAsiaTheme="minorHAnsi" w:hAnsi="Bookman Old Style" w:cs="BookmanOldStyle-Bold"/>
          <w:sz w:val="28"/>
          <w:szCs w:val="28"/>
          <w:lang w:val="es-CO"/>
        </w:rPr>
      </w:pPr>
    </w:p>
    <w:p w14:paraId="5E3DE838" w14:textId="02E6A925" w:rsidR="00893B82" w:rsidRPr="00AF1F0F" w:rsidRDefault="00893B82" w:rsidP="00893B82">
      <w:pPr>
        <w:autoSpaceDE w:val="0"/>
        <w:autoSpaceDN w:val="0"/>
        <w:adjustRightInd w:val="0"/>
        <w:spacing w:after="0" w:line="360" w:lineRule="auto"/>
        <w:ind w:firstLine="709"/>
        <w:jc w:val="both"/>
        <w:rPr>
          <w:rFonts w:ascii="Bookman Old Style" w:eastAsiaTheme="minorHAnsi" w:hAnsi="Bookman Old Style" w:cs="BookmanOldStyle-Bold"/>
          <w:sz w:val="28"/>
          <w:szCs w:val="28"/>
          <w:lang w:val="es-CO"/>
        </w:rPr>
      </w:pPr>
      <w:r w:rsidRPr="00AF1F0F">
        <w:rPr>
          <w:rFonts w:ascii="Bookman Old Style" w:eastAsiaTheme="minorHAnsi" w:hAnsi="Bookman Old Style" w:cs="BookmanOldStyle-Bold"/>
          <w:sz w:val="28"/>
          <w:szCs w:val="28"/>
          <w:lang w:val="es-CO"/>
        </w:rPr>
        <w:t xml:space="preserve">8. Sin embargo, </w:t>
      </w:r>
      <w:r w:rsidR="0060308C" w:rsidRPr="00AF1F0F">
        <w:rPr>
          <w:rFonts w:ascii="Bookman Old Style" w:eastAsiaTheme="minorHAnsi" w:hAnsi="Bookman Old Style" w:cs="BookmanOldStyle-Bold"/>
          <w:sz w:val="28"/>
          <w:szCs w:val="28"/>
          <w:lang w:val="es-CO"/>
        </w:rPr>
        <w:t>tal reenvío</w:t>
      </w:r>
      <w:r w:rsidR="00733173" w:rsidRPr="00AF1F0F">
        <w:rPr>
          <w:rFonts w:ascii="Bookman Old Style" w:eastAsiaTheme="minorHAnsi" w:hAnsi="Bookman Old Style" w:cs="BookmanOldStyle-Bold"/>
          <w:sz w:val="28"/>
          <w:szCs w:val="28"/>
          <w:lang w:val="es-CO"/>
        </w:rPr>
        <w:t xml:space="preserve"> para dichos </w:t>
      </w:r>
      <w:r w:rsidR="00E31291" w:rsidRPr="00AF1F0F">
        <w:rPr>
          <w:rFonts w:ascii="Bookman Old Style" w:eastAsiaTheme="minorHAnsi" w:hAnsi="Bookman Old Style" w:cs="BookmanOldStyle-Bold"/>
          <w:sz w:val="28"/>
          <w:szCs w:val="28"/>
          <w:lang w:val="es-CO"/>
        </w:rPr>
        <w:t>propósitos</w:t>
      </w:r>
      <w:r w:rsidR="0060308C" w:rsidRPr="00AF1F0F">
        <w:rPr>
          <w:rFonts w:ascii="Bookman Old Style" w:eastAsiaTheme="minorHAnsi" w:hAnsi="Bookman Old Style" w:cs="BookmanOldStyle-Bold"/>
          <w:sz w:val="28"/>
          <w:szCs w:val="28"/>
          <w:lang w:val="es-CO"/>
        </w:rPr>
        <w:t xml:space="preserve"> carece de sentido en la medida en que, ya para este momento, dada la casación de la sentencia de segunda instancia, la acción penal ha prescrito.</w:t>
      </w:r>
    </w:p>
    <w:p w14:paraId="6CCCCFF1" w14:textId="09956D92" w:rsidR="0060308C" w:rsidRPr="00AF1F0F" w:rsidRDefault="0060308C" w:rsidP="00893B82">
      <w:pPr>
        <w:autoSpaceDE w:val="0"/>
        <w:autoSpaceDN w:val="0"/>
        <w:adjustRightInd w:val="0"/>
        <w:spacing w:after="0" w:line="360" w:lineRule="auto"/>
        <w:ind w:firstLine="709"/>
        <w:jc w:val="both"/>
        <w:rPr>
          <w:rFonts w:ascii="Bookman Old Style" w:hAnsi="Bookman Old Style" w:cs="Arial"/>
          <w:sz w:val="28"/>
          <w:szCs w:val="28"/>
        </w:rPr>
      </w:pPr>
      <w:r w:rsidRPr="00AF1F0F">
        <w:rPr>
          <w:rFonts w:ascii="Bookman Old Style" w:eastAsiaTheme="minorHAnsi" w:hAnsi="Bookman Old Style" w:cs="BookmanOldStyle-Bold"/>
          <w:sz w:val="28"/>
          <w:szCs w:val="28"/>
          <w:lang w:val="es-CO"/>
        </w:rPr>
        <w:lastRenderedPageBreak/>
        <w:t>En efecto, como ya se dijo, el delito objeto de juicio</w:t>
      </w:r>
      <w:r w:rsidR="00E31291" w:rsidRPr="00AF1F0F">
        <w:rPr>
          <w:rFonts w:ascii="Bookman Old Style" w:eastAsiaTheme="minorHAnsi" w:hAnsi="Bookman Old Style" w:cs="BookmanOldStyle-Bold"/>
          <w:sz w:val="28"/>
          <w:szCs w:val="28"/>
          <w:lang w:val="es-CO"/>
        </w:rPr>
        <w:t xml:space="preserve"> se sanciona con una pena máxima privativa de libertad de 108 meses</w:t>
      </w:r>
      <w:r w:rsidRPr="00AF1F0F">
        <w:rPr>
          <w:rFonts w:ascii="Bookman Old Style" w:eastAsiaTheme="minorHAnsi" w:hAnsi="Bookman Old Style" w:cs="BookmanOldStyle-Bold"/>
          <w:sz w:val="28"/>
          <w:szCs w:val="28"/>
          <w:lang w:val="es-CO"/>
        </w:rPr>
        <w:t xml:space="preserve">, </w:t>
      </w:r>
      <w:r w:rsidR="00E31291" w:rsidRPr="00AF1F0F">
        <w:rPr>
          <w:rFonts w:ascii="Bookman Old Style" w:eastAsiaTheme="minorHAnsi" w:hAnsi="Bookman Old Style" w:cs="BookmanOldStyle-Bold"/>
          <w:sz w:val="28"/>
          <w:szCs w:val="28"/>
          <w:lang w:val="es-CO"/>
        </w:rPr>
        <w:t>término que, para efectos prescriptivos según lo analizado,</w:t>
      </w:r>
      <w:r w:rsidRPr="00AF1F0F">
        <w:rPr>
          <w:rFonts w:ascii="Bookman Old Style" w:eastAsiaTheme="minorHAnsi" w:hAnsi="Bookman Old Style" w:cs="BookmanOldStyle-Bold"/>
          <w:sz w:val="28"/>
          <w:szCs w:val="28"/>
          <w:lang w:val="es-CO"/>
        </w:rPr>
        <w:t xml:space="preserve"> </w:t>
      </w:r>
      <w:r w:rsidR="00E31291" w:rsidRPr="00AF1F0F">
        <w:rPr>
          <w:rFonts w:ascii="Bookman Old Style" w:eastAsiaTheme="minorHAnsi" w:hAnsi="Bookman Old Style" w:cs="BookmanOldStyle-Bold"/>
          <w:sz w:val="28"/>
          <w:szCs w:val="28"/>
          <w:lang w:val="es-CO"/>
        </w:rPr>
        <w:t>se aumenta en la mitad para un total de 162 meses, pero como se trata de extinción luego de formulada la imputación tal lapso se reduce a la mitad, esto es 81 meses</w:t>
      </w:r>
      <w:r w:rsidRPr="00AF1F0F">
        <w:rPr>
          <w:rFonts w:ascii="Bookman Old Style" w:eastAsiaTheme="minorHAnsi" w:hAnsi="Bookman Old Style" w:cs="BookmanOldStyle-Bold"/>
          <w:sz w:val="28"/>
          <w:szCs w:val="28"/>
          <w:lang w:val="es-CO"/>
        </w:rPr>
        <w:t xml:space="preserve">, </w:t>
      </w:r>
      <w:r w:rsidR="00E31291" w:rsidRPr="00AF1F0F">
        <w:rPr>
          <w:rFonts w:ascii="Bookman Old Style" w:eastAsiaTheme="minorHAnsi" w:hAnsi="Bookman Old Style" w:cs="BookmanOldStyle-Bold"/>
          <w:sz w:val="28"/>
          <w:szCs w:val="28"/>
          <w:lang w:val="es-CO"/>
        </w:rPr>
        <w:t>el cual</w:t>
      </w:r>
      <w:r w:rsidRPr="00AF1F0F">
        <w:rPr>
          <w:rFonts w:ascii="Bookman Old Style" w:eastAsiaTheme="minorHAnsi" w:hAnsi="Bookman Old Style" w:cs="BookmanOldStyle-Bold"/>
          <w:sz w:val="28"/>
          <w:szCs w:val="28"/>
          <w:lang w:val="es-CO"/>
        </w:rPr>
        <w:t xml:space="preserve"> ciertamente ya se superó, toda vez que, desde aquel acto, 24 de octubre de 2018, han pasado</w:t>
      </w:r>
      <w:r w:rsidR="00733173" w:rsidRPr="00AF1F0F">
        <w:rPr>
          <w:rFonts w:ascii="Bookman Old Style" w:eastAsiaTheme="minorHAnsi" w:hAnsi="Bookman Old Style" w:cs="BookmanOldStyle-Bold"/>
          <w:sz w:val="28"/>
          <w:szCs w:val="28"/>
          <w:lang w:val="es-CO"/>
        </w:rPr>
        <w:t xml:space="preserve"> cerca de 93 meses</w:t>
      </w:r>
      <w:r w:rsidR="00BE58A8" w:rsidRPr="00AF1F0F">
        <w:rPr>
          <w:rFonts w:ascii="Bookman Old Style" w:eastAsiaTheme="minorHAnsi" w:hAnsi="Bookman Old Style" w:cs="BookmanOldStyle-Bold"/>
          <w:sz w:val="28"/>
          <w:szCs w:val="28"/>
          <w:lang w:val="es-CO"/>
        </w:rPr>
        <w:t>, sin que medie una sentencia válida que suspenda dicho término</w:t>
      </w:r>
      <w:r w:rsidR="00733173" w:rsidRPr="00AF1F0F">
        <w:rPr>
          <w:rFonts w:ascii="Bookman Old Style" w:eastAsiaTheme="minorHAnsi" w:hAnsi="Bookman Old Style" w:cs="BookmanOldStyle-Bold"/>
          <w:sz w:val="28"/>
          <w:szCs w:val="28"/>
          <w:lang w:val="es-CO"/>
        </w:rPr>
        <w:t>.</w:t>
      </w:r>
    </w:p>
    <w:p w14:paraId="19BB9B21" w14:textId="59F736A7" w:rsidR="00FC69FD" w:rsidRPr="00AF1F0F" w:rsidRDefault="00FC69FD" w:rsidP="005402A3">
      <w:pPr>
        <w:pStyle w:val="Textoindependiente2"/>
        <w:spacing w:after="0" w:line="360" w:lineRule="auto"/>
        <w:ind w:right="51" w:firstLine="709"/>
        <w:jc w:val="both"/>
        <w:rPr>
          <w:rFonts w:ascii="Bookman Old Style" w:hAnsi="Bookman Old Style" w:cs="Arial"/>
          <w:sz w:val="28"/>
          <w:szCs w:val="28"/>
        </w:rPr>
      </w:pPr>
    </w:p>
    <w:p w14:paraId="7BF89282" w14:textId="6B01CCE3" w:rsidR="00733173" w:rsidRPr="00AF1F0F" w:rsidRDefault="00733173" w:rsidP="005402A3">
      <w:pPr>
        <w:pStyle w:val="Textoindependiente2"/>
        <w:spacing w:after="0" w:line="360" w:lineRule="auto"/>
        <w:ind w:right="51" w:firstLine="709"/>
        <w:jc w:val="both"/>
        <w:rPr>
          <w:rFonts w:ascii="Bookman Old Style" w:hAnsi="Bookman Old Style" w:cs="Arial"/>
          <w:sz w:val="28"/>
          <w:szCs w:val="28"/>
        </w:rPr>
      </w:pPr>
      <w:r w:rsidRPr="00AF1F0F">
        <w:rPr>
          <w:rFonts w:ascii="Bookman Old Style" w:hAnsi="Bookman Old Style" w:cs="Arial"/>
          <w:sz w:val="28"/>
          <w:szCs w:val="28"/>
        </w:rPr>
        <w:t>En consecuencia, si bien la sentencia del ad quem será casada, también se declarará la extinción de la acción penal por prescripción y, por ende, se precluirá la actuación en favor del procesado Harold David de Armas Fontalvo.</w:t>
      </w:r>
    </w:p>
    <w:p w14:paraId="5D96EE79" w14:textId="77777777" w:rsidR="00236C3B" w:rsidRPr="00AF1F0F" w:rsidRDefault="00236C3B" w:rsidP="00634FB4">
      <w:pPr>
        <w:spacing w:after="0" w:line="360" w:lineRule="auto"/>
        <w:ind w:right="51" w:firstLine="709"/>
        <w:jc w:val="both"/>
        <w:rPr>
          <w:rFonts w:ascii="Bookman Old Style" w:hAnsi="Bookman Old Style"/>
          <w:bCs/>
          <w:iCs/>
          <w:sz w:val="28"/>
          <w:szCs w:val="28"/>
        </w:rPr>
      </w:pPr>
    </w:p>
    <w:p w14:paraId="1F976E6F" w14:textId="77777777" w:rsidR="00634FB4" w:rsidRPr="00AF1F0F" w:rsidRDefault="00634FB4" w:rsidP="00634FB4">
      <w:pPr>
        <w:spacing w:after="0" w:line="360" w:lineRule="auto"/>
        <w:ind w:right="51" w:firstLine="709"/>
        <w:jc w:val="both"/>
        <w:rPr>
          <w:rFonts w:ascii="Bookman Old Style" w:hAnsi="Bookman Old Style"/>
          <w:bCs/>
          <w:sz w:val="28"/>
          <w:szCs w:val="28"/>
          <w:lang w:val="es-MX"/>
        </w:rPr>
      </w:pPr>
      <w:r w:rsidRPr="00AF1F0F">
        <w:rPr>
          <w:rFonts w:ascii="Bookman Old Style" w:hAnsi="Bookman Old Style"/>
          <w:bCs/>
          <w:sz w:val="28"/>
          <w:szCs w:val="28"/>
          <w:lang w:val="es-MX"/>
        </w:rPr>
        <w:t>En mérito de lo expuesto, la Corte Suprema de Justicia, Sala de Casación Penal, administrando justicia en nombre de la República y por autoridad de la ley,</w:t>
      </w:r>
    </w:p>
    <w:p w14:paraId="0F7466ED"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7F9D5A53" w14:textId="77777777" w:rsidR="00634FB4" w:rsidRPr="00AF1F0F" w:rsidRDefault="00634FB4" w:rsidP="00634FB4">
      <w:pPr>
        <w:spacing w:after="0" w:line="360" w:lineRule="auto"/>
        <w:ind w:right="51" w:firstLine="709"/>
        <w:jc w:val="center"/>
        <w:rPr>
          <w:rFonts w:ascii="Bookman Old Style" w:hAnsi="Bookman Old Style"/>
          <w:b/>
          <w:sz w:val="28"/>
          <w:szCs w:val="28"/>
          <w:lang w:val="es-MX"/>
        </w:rPr>
      </w:pPr>
      <w:r w:rsidRPr="00AF1F0F">
        <w:rPr>
          <w:rFonts w:ascii="Bookman Old Style" w:hAnsi="Bookman Old Style"/>
          <w:b/>
          <w:sz w:val="28"/>
          <w:szCs w:val="28"/>
          <w:lang w:val="es-MX"/>
        </w:rPr>
        <w:t>RESUELVE:</w:t>
      </w:r>
    </w:p>
    <w:p w14:paraId="529F2640" w14:textId="77777777" w:rsidR="00634FB4" w:rsidRPr="00AF1F0F" w:rsidRDefault="00634FB4" w:rsidP="00634FB4">
      <w:pPr>
        <w:spacing w:after="0" w:line="360" w:lineRule="auto"/>
        <w:ind w:right="51" w:firstLine="709"/>
        <w:jc w:val="both"/>
        <w:rPr>
          <w:rFonts w:ascii="Bookman Old Style" w:hAnsi="Bookman Old Style"/>
          <w:b/>
          <w:sz w:val="28"/>
          <w:szCs w:val="28"/>
          <w:lang w:val="es-MX"/>
        </w:rPr>
      </w:pPr>
    </w:p>
    <w:p w14:paraId="3E8B4815" w14:textId="14ED8C47" w:rsidR="00634FB4" w:rsidRPr="00AF1F0F" w:rsidRDefault="00733173"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t>1.</w:t>
      </w:r>
      <w:r w:rsidR="00634FB4" w:rsidRPr="00AF1F0F">
        <w:rPr>
          <w:rFonts w:ascii="Bookman Old Style" w:hAnsi="Bookman Old Style"/>
          <w:sz w:val="28"/>
          <w:szCs w:val="28"/>
          <w:lang w:val="es-MX"/>
        </w:rPr>
        <w:t xml:space="preserve"> CASAR la sentencia recurrida.</w:t>
      </w:r>
    </w:p>
    <w:p w14:paraId="00591783" w14:textId="782B39DC"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2D57A45C" w14:textId="03505D1C" w:rsidR="00733173" w:rsidRPr="00AF1F0F" w:rsidRDefault="00733173"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t>2. Declarar extinguida, por prescripción la acción penal.</w:t>
      </w:r>
    </w:p>
    <w:p w14:paraId="3D10A715" w14:textId="42E6950A" w:rsidR="00733173" w:rsidRPr="00AF1F0F" w:rsidRDefault="00733173" w:rsidP="00634FB4">
      <w:pPr>
        <w:spacing w:after="0" w:line="360" w:lineRule="auto"/>
        <w:ind w:right="51" w:firstLine="709"/>
        <w:jc w:val="both"/>
        <w:rPr>
          <w:rFonts w:ascii="Bookman Old Style" w:hAnsi="Bookman Old Style"/>
          <w:sz w:val="28"/>
          <w:szCs w:val="28"/>
          <w:lang w:val="es-MX"/>
        </w:rPr>
      </w:pPr>
    </w:p>
    <w:p w14:paraId="22F08B42" w14:textId="5ECF39F9" w:rsidR="00733173" w:rsidRPr="00AF1F0F" w:rsidRDefault="00733173"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t>3. En consecuencia precluir la actuación en favor de Harold David de Armas Fontalvo.</w:t>
      </w:r>
    </w:p>
    <w:p w14:paraId="4EEFFD91" w14:textId="77777777" w:rsidR="00733173" w:rsidRPr="00AF1F0F" w:rsidRDefault="00733173" w:rsidP="00634FB4">
      <w:pPr>
        <w:spacing w:after="0" w:line="360" w:lineRule="auto"/>
        <w:ind w:right="51" w:firstLine="709"/>
        <w:jc w:val="both"/>
        <w:rPr>
          <w:rFonts w:ascii="Bookman Old Style" w:hAnsi="Bookman Old Style"/>
          <w:sz w:val="28"/>
          <w:szCs w:val="28"/>
          <w:lang w:val="es-MX"/>
        </w:rPr>
      </w:pPr>
    </w:p>
    <w:p w14:paraId="682A1424"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lastRenderedPageBreak/>
        <w:t>Contra esta decisión no procede recurso alguno.</w:t>
      </w:r>
    </w:p>
    <w:p w14:paraId="31538551"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6C2E3EE7"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r w:rsidRPr="00AF1F0F">
        <w:rPr>
          <w:rFonts w:ascii="Bookman Old Style" w:hAnsi="Bookman Old Style"/>
          <w:sz w:val="28"/>
          <w:szCs w:val="28"/>
          <w:lang w:val="es-MX"/>
        </w:rPr>
        <w:t>Cópiese, notifíquese, cúmplase y devuélvase al Tribunal de origen,</w:t>
      </w:r>
    </w:p>
    <w:p w14:paraId="453012E3" w14:textId="77777777" w:rsidR="00634FB4" w:rsidRPr="00AF1F0F" w:rsidRDefault="00634FB4" w:rsidP="00634FB4">
      <w:pPr>
        <w:pStyle w:val="Sinespaciado"/>
      </w:pPr>
    </w:p>
    <w:p w14:paraId="605168C0" w14:textId="77777777" w:rsidR="00634FB4" w:rsidRPr="00AF1F0F" w:rsidRDefault="00634FB4" w:rsidP="00634FB4">
      <w:pPr>
        <w:pStyle w:val="Sangra2detindependiente"/>
        <w:spacing w:after="0" w:line="360" w:lineRule="auto"/>
        <w:ind w:left="0" w:right="51" w:firstLine="709"/>
        <w:jc w:val="center"/>
        <w:rPr>
          <w:rFonts w:ascii="Bookman Old Style" w:hAnsi="Bookman Old Style" w:cs="Arial"/>
          <w:sz w:val="28"/>
          <w:szCs w:val="28"/>
        </w:rPr>
      </w:pPr>
    </w:p>
    <w:p w14:paraId="2E2C893C" w14:textId="77777777" w:rsidR="00634FB4" w:rsidRDefault="00634FB4" w:rsidP="00634FB4">
      <w:pPr>
        <w:spacing w:after="0" w:line="360" w:lineRule="auto"/>
        <w:ind w:right="51" w:firstLine="709"/>
        <w:jc w:val="center"/>
        <w:rPr>
          <w:rFonts w:ascii="Bookman Old Style" w:hAnsi="Bookman Old Style" w:cs="Arial"/>
          <w:b/>
          <w:bCs/>
          <w:iCs/>
          <w:sz w:val="28"/>
          <w:szCs w:val="28"/>
        </w:rPr>
      </w:pPr>
    </w:p>
    <w:p w14:paraId="3555DB42" w14:textId="77777777" w:rsidR="00AF1F0F" w:rsidRPr="00AF1F0F" w:rsidRDefault="00AF1F0F" w:rsidP="00634FB4">
      <w:pPr>
        <w:spacing w:after="0" w:line="360" w:lineRule="auto"/>
        <w:ind w:right="51" w:firstLine="709"/>
        <w:jc w:val="center"/>
        <w:rPr>
          <w:rFonts w:ascii="Bookman Old Style" w:hAnsi="Bookman Old Style" w:cs="Arial"/>
          <w:b/>
          <w:bCs/>
          <w:iCs/>
          <w:sz w:val="28"/>
          <w:szCs w:val="28"/>
        </w:rPr>
      </w:pPr>
    </w:p>
    <w:p w14:paraId="05551658" w14:textId="77777777" w:rsidR="00634FB4" w:rsidRDefault="00634FB4" w:rsidP="00634FB4">
      <w:pPr>
        <w:pStyle w:val="Textodenotaalfinal"/>
        <w:spacing w:line="360" w:lineRule="auto"/>
        <w:ind w:right="51" w:firstLine="709"/>
        <w:jc w:val="center"/>
        <w:rPr>
          <w:rFonts w:ascii="Bookman Old Style" w:hAnsi="Bookman Old Style"/>
          <w:b/>
          <w:bCs/>
          <w:iCs/>
          <w:sz w:val="28"/>
          <w:szCs w:val="28"/>
          <w:lang w:val="es-MX"/>
        </w:rPr>
      </w:pPr>
      <w:r w:rsidRPr="00AF1F0F">
        <w:rPr>
          <w:rFonts w:ascii="Bookman Old Style" w:hAnsi="Bookman Old Style"/>
          <w:b/>
          <w:bCs/>
          <w:iCs/>
          <w:sz w:val="28"/>
          <w:szCs w:val="28"/>
          <w:lang w:val="es-MX"/>
        </w:rPr>
        <w:t>CARLOS ROBERTO SOLÓRZANO GARAVITO</w:t>
      </w:r>
    </w:p>
    <w:p w14:paraId="04BBDC06" w14:textId="51F0BB7C" w:rsidR="00AF1F0F" w:rsidRPr="00AF1F0F" w:rsidRDefault="00AF1F0F" w:rsidP="00634FB4">
      <w:pPr>
        <w:pStyle w:val="Textodenotaalfinal"/>
        <w:spacing w:line="360" w:lineRule="auto"/>
        <w:ind w:right="51" w:firstLine="709"/>
        <w:jc w:val="center"/>
        <w:rPr>
          <w:rFonts w:ascii="Bookman Old Style" w:hAnsi="Bookman Old Style"/>
          <w:b/>
          <w:bCs/>
          <w:iCs/>
          <w:sz w:val="28"/>
          <w:szCs w:val="28"/>
          <w:lang w:val="es-MX"/>
        </w:rPr>
      </w:pPr>
      <w:r>
        <w:rPr>
          <w:rFonts w:ascii="Bookman Old Style" w:hAnsi="Bookman Old Style"/>
          <w:b/>
          <w:bCs/>
          <w:iCs/>
          <w:sz w:val="28"/>
          <w:szCs w:val="28"/>
          <w:lang w:val="es-MX"/>
        </w:rPr>
        <w:t>Presidente</w:t>
      </w:r>
    </w:p>
    <w:p w14:paraId="2C46E4BE" w14:textId="63B8870A" w:rsidR="00634FB4"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793BCF1D" w14:textId="77777777" w:rsidR="00AF1F0F" w:rsidRPr="00AF1F0F" w:rsidRDefault="00AF1F0F" w:rsidP="00634FB4">
      <w:pPr>
        <w:pStyle w:val="Textodenotaalfinal"/>
        <w:spacing w:line="360" w:lineRule="auto"/>
        <w:ind w:right="51" w:firstLine="709"/>
        <w:jc w:val="center"/>
        <w:rPr>
          <w:rFonts w:ascii="Bookman Old Style" w:hAnsi="Bookman Old Style"/>
          <w:b/>
          <w:bCs/>
          <w:iCs/>
          <w:sz w:val="28"/>
          <w:szCs w:val="28"/>
          <w:lang w:val="es-MX"/>
        </w:rPr>
      </w:pPr>
    </w:p>
    <w:p w14:paraId="36C21E65" w14:textId="77777777" w:rsidR="00634FB4" w:rsidRPr="00AF1F0F" w:rsidRDefault="00634FB4" w:rsidP="00634FB4">
      <w:pPr>
        <w:spacing w:after="0" w:line="240" w:lineRule="auto"/>
        <w:ind w:right="51" w:firstLine="709"/>
        <w:jc w:val="center"/>
        <w:rPr>
          <w:rFonts w:ascii="Bookman Old Style" w:hAnsi="Bookman Old Style" w:cs="Arial"/>
          <w:b/>
          <w:bCs/>
          <w:iCs/>
          <w:sz w:val="28"/>
          <w:szCs w:val="28"/>
          <w:lang w:val="es-MX"/>
        </w:rPr>
      </w:pPr>
    </w:p>
    <w:p w14:paraId="5014EC92" w14:textId="77777777" w:rsidR="00634FB4" w:rsidRPr="00AF1F0F" w:rsidRDefault="00634FB4" w:rsidP="00634FB4">
      <w:pPr>
        <w:spacing w:after="0" w:line="360" w:lineRule="auto"/>
        <w:ind w:right="51" w:firstLine="709"/>
        <w:jc w:val="center"/>
        <w:rPr>
          <w:rFonts w:ascii="Bookman Old Style" w:hAnsi="Bookman Old Style" w:cs="Arial"/>
          <w:b/>
          <w:bCs/>
          <w:iCs/>
          <w:sz w:val="28"/>
          <w:szCs w:val="28"/>
          <w:lang w:val="es-MX"/>
        </w:rPr>
      </w:pPr>
    </w:p>
    <w:p w14:paraId="0799E36E" w14:textId="77777777" w:rsidR="00634FB4" w:rsidRPr="00AF1F0F" w:rsidRDefault="00634FB4" w:rsidP="00634FB4">
      <w:pPr>
        <w:spacing w:after="0" w:line="360" w:lineRule="auto"/>
        <w:ind w:right="51" w:firstLine="709"/>
        <w:jc w:val="center"/>
        <w:rPr>
          <w:rFonts w:ascii="Bookman Old Style" w:hAnsi="Bookman Old Style"/>
          <w:sz w:val="28"/>
          <w:szCs w:val="28"/>
          <w:lang w:val="es-MX"/>
        </w:rPr>
      </w:pPr>
      <w:r w:rsidRPr="00AF1F0F">
        <w:rPr>
          <w:rFonts w:ascii="Bookman Old Style" w:hAnsi="Bookman Old Style" w:cs="Arial"/>
          <w:b/>
          <w:bCs/>
          <w:iCs/>
          <w:sz w:val="28"/>
          <w:szCs w:val="28"/>
          <w:lang w:val="es-MX"/>
        </w:rPr>
        <w:t>MYRIAM ÁVILA ROLDÁN</w:t>
      </w:r>
    </w:p>
    <w:p w14:paraId="35B6B32D"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3D049260" w14:textId="77777777" w:rsidR="00634FB4" w:rsidRDefault="00634FB4" w:rsidP="00634FB4">
      <w:pPr>
        <w:spacing w:after="0" w:line="360" w:lineRule="auto"/>
        <w:ind w:right="51" w:firstLine="709"/>
        <w:jc w:val="both"/>
        <w:rPr>
          <w:rFonts w:ascii="Bookman Old Style" w:hAnsi="Bookman Old Style"/>
          <w:sz w:val="28"/>
          <w:szCs w:val="28"/>
          <w:lang w:val="es-MX"/>
        </w:rPr>
      </w:pPr>
    </w:p>
    <w:p w14:paraId="4B9C6B6D" w14:textId="77777777" w:rsidR="00AF1F0F" w:rsidRPr="00AF1F0F" w:rsidRDefault="00AF1F0F" w:rsidP="00634FB4">
      <w:pPr>
        <w:spacing w:after="0" w:line="360" w:lineRule="auto"/>
        <w:ind w:right="51" w:firstLine="709"/>
        <w:jc w:val="both"/>
        <w:rPr>
          <w:rFonts w:ascii="Bookman Old Style" w:hAnsi="Bookman Old Style"/>
          <w:sz w:val="28"/>
          <w:szCs w:val="28"/>
          <w:lang w:val="es-MX"/>
        </w:rPr>
      </w:pPr>
    </w:p>
    <w:p w14:paraId="73703C39" w14:textId="77777777" w:rsidR="00634FB4" w:rsidRPr="00AF1F0F" w:rsidRDefault="00634FB4" w:rsidP="00634FB4">
      <w:pPr>
        <w:spacing w:after="0" w:line="360" w:lineRule="auto"/>
        <w:ind w:right="51" w:firstLine="709"/>
        <w:jc w:val="both"/>
        <w:rPr>
          <w:rFonts w:ascii="Bookman Old Style" w:hAnsi="Bookman Old Style"/>
          <w:sz w:val="28"/>
          <w:szCs w:val="28"/>
          <w:lang w:val="es-MX"/>
        </w:rPr>
      </w:pPr>
    </w:p>
    <w:p w14:paraId="64384503"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r w:rsidRPr="00AF1F0F">
        <w:rPr>
          <w:rFonts w:ascii="Bookman Old Style" w:hAnsi="Bookman Old Style" w:cs="Arial"/>
          <w:b/>
          <w:bCs/>
          <w:iCs/>
          <w:sz w:val="28"/>
          <w:szCs w:val="28"/>
          <w:lang w:val="es-MX"/>
        </w:rPr>
        <w:t>GERARDO BARBOSA CASTILLO</w:t>
      </w:r>
    </w:p>
    <w:p w14:paraId="5DBC7887"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2268B739"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2649D9EE" w14:textId="77777777" w:rsidR="00634FB4"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76869B9C" w14:textId="77777777" w:rsidR="00AF1F0F" w:rsidRPr="00AF1F0F" w:rsidRDefault="00AF1F0F" w:rsidP="00634FB4">
      <w:pPr>
        <w:pStyle w:val="Textodenotaalfinal"/>
        <w:spacing w:line="360" w:lineRule="auto"/>
        <w:ind w:right="51" w:firstLine="709"/>
        <w:jc w:val="center"/>
        <w:rPr>
          <w:rFonts w:ascii="Bookman Old Style" w:hAnsi="Bookman Old Style" w:cs="Arial"/>
          <w:b/>
          <w:bCs/>
          <w:iCs/>
          <w:sz w:val="28"/>
          <w:szCs w:val="28"/>
          <w:lang w:val="es-MX"/>
        </w:rPr>
      </w:pPr>
    </w:p>
    <w:p w14:paraId="26B267FF"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r w:rsidRPr="00AF1F0F">
        <w:rPr>
          <w:rFonts w:ascii="Bookman Old Style" w:hAnsi="Bookman Old Style" w:cs="Arial"/>
          <w:b/>
          <w:bCs/>
          <w:iCs/>
          <w:sz w:val="28"/>
          <w:szCs w:val="28"/>
          <w:lang w:val="es-MX"/>
        </w:rPr>
        <w:t>FERNANDO LEÓN BOLAÑOS PALACIOS</w:t>
      </w:r>
    </w:p>
    <w:p w14:paraId="254C7A47"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01FBCB11" w14:textId="77777777" w:rsidR="00634FB4"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6EEFC24B" w14:textId="77777777" w:rsidR="00AF1F0F" w:rsidRPr="00AF1F0F" w:rsidRDefault="00AF1F0F" w:rsidP="00634FB4">
      <w:pPr>
        <w:pStyle w:val="Textodenotaalfinal"/>
        <w:spacing w:line="360" w:lineRule="auto"/>
        <w:ind w:right="51" w:firstLine="709"/>
        <w:jc w:val="center"/>
        <w:rPr>
          <w:rFonts w:ascii="Bookman Old Style" w:hAnsi="Bookman Old Style" w:cs="Arial"/>
          <w:b/>
          <w:bCs/>
          <w:iCs/>
          <w:sz w:val="28"/>
          <w:szCs w:val="28"/>
          <w:lang w:val="es-MX"/>
        </w:rPr>
      </w:pPr>
    </w:p>
    <w:p w14:paraId="33A9F36A" w14:textId="77777777" w:rsidR="00634FB4" w:rsidRPr="00AF1F0F" w:rsidRDefault="00634FB4" w:rsidP="00634FB4">
      <w:pPr>
        <w:pStyle w:val="Textodenotaalfinal"/>
        <w:spacing w:line="360" w:lineRule="auto"/>
        <w:ind w:right="51" w:firstLine="709"/>
        <w:jc w:val="center"/>
        <w:rPr>
          <w:rFonts w:ascii="Bookman Old Style" w:hAnsi="Bookman Old Style" w:cs="Arial"/>
          <w:b/>
          <w:bCs/>
          <w:iCs/>
          <w:sz w:val="28"/>
          <w:szCs w:val="28"/>
          <w:lang w:val="es-MX"/>
        </w:rPr>
      </w:pPr>
    </w:p>
    <w:p w14:paraId="0BA5D467"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r w:rsidRPr="00AF1F0F">
        <w:rPr>
          <w:rFonts w:ascii="Bookman Old Style" w:hAnsi="Bookman Old Style"/>
          <w:b/>
          <w:sz w:val="28"/>
          <w:szCs w:val="28"/>
        </w:rPr>
        <w:t>GERSON CHAVERRA CASTRO</w:t>
      </w:r>
    </w:p>
    <w:p w14:paraId="73D226BE"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p>
    <w:p w14:paraId="6025311F" w14:textId="77777777" w:rsidR="00634FB4" w:rsidRDefault="00634FB4" w:rsidP="00634FB4">
      <w:pPr>
        <w:pStyle w:val="Textodenotaalfinal"/>
        <w:spacing w:line="360" w:lineRule="auto"/>
        <w:ind w:right="51" w:firstLine="709"/>
        <w:jc w:val="center"/>
        <w:rPr>
          <w:rFonts w:ascii="Bookman Old Style" w:hAnsi="Bookman Old Style"/>
          <w:b/>
          <w:sz w:val="28"/>
          <w:szCs w:val="28"/>
        </w:rPr>
      </w:pPr>
    </w:p>
    <w:p w14:paraId="6659A9C3" w14:textId="77777777" w:rsidR="00AF1F0F" w:rsidRPr="00AF1F0F" w:rsidRDefault="00AF1F0F" w:rsidP="00634FB4">
      <w:pPr>
        <w:pStyle w:val="Textodenotaalfinal"/>
        <w:spacing w:line="360" w:lineRule="auto"/>
        <w:ind w:right="51" w:firstLine="709"/>
        <w:jc w:val="center"/>
        <w:rPr>
          <w:rFonts w:ascii="Bookman Old Style" w:hAnsi="Bookman Old Style"/>
          <w:b/>
          <w:sz w:val="28"/>
          <w:szCs w:val="28"/>
        </w:rPr>
      </w:pPr>
    </w:p>
    <w:p w14:paraId="0DDA53E6"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p>
    <w:p w14:paraId="766A83EA"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r w:rsidRPr="00AF1F0F">
        <w:rPr>
          <w:rFonts w:ascii="Bookman Old Style" w:hAnsi="Bookman Old Style"/>
          <w:b/>
          <w:sz w:val="28"/>
          <w:szCs w:val="28"/>
        </w:rPr>
        <w:t>DIEGO EUGENIO CORREDOR BELTRÁN</w:t>
      </w:r>
    </w:p>
    <w:p w14:paraId="6F539D31" w14:textId="77777777" w:rsidR="00634FB4"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5F1D8AAC" w14:textId="77777777" w:rsidR="00AF1F0F" w:rsidRPr="00AF1F0F" w:rsidRDefault="00AF1F0F" w:rsidP="00634FB4">
      <w:pPr>
        <w:pStyle w:val="Textodenotaalfinal"/>
        <w:spacing w:line="360" w:lineRule="auto"/>
        <w:ind w:right="51" w:firstLine="709"/>
        <w:jc w:val="center"/>
        <w:rPr>
          <w:rFonts w:ascii="Bookman Old Style" w:hAnsi="Bookman Old Style"/>
          <w:b/>
          <w:bCs/>
          <w:iCs/>
          <w:sz w:val="28"/>
          <w:szCs w:val="28"/>
          <w:lang w:val="es-MX"/>
        </w:rPr>
      </w:pPr>
    </w:p>
    <w:p w14:paraId="75C2644C"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3D8EAF6C"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7DFBFB4D"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r w:rsidRPr="00AF1F0F">
        <w:rPr>
          <w:rFonts w:ascii="Bookman Old Style" w:hAnsi="Bookman Old Style"/>
          <w:b/>
          <w:bCs/>
          <w:iCs/>
          <w:sz w:val="28"/>
          <w:szCs w:val="28"/>
          <w:lang w:val="es-MX"/>
        </w:rPr>
        <w:t>JORGE HERNÁN DÍAZ SOTO</w:t>
      </w:r>
    </w:p>
    <w:p w14:paraId="46E4A5D8" w14:textId="77777777" w:rsidR="00634FB4"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2916E341" w14:textId="77777777" w:rsidR="00AF1F0F" w:rsidRPr="00AF1F0F" w:rsidRDefault="00AF1F0F" w:rsidP="00634FB4">
      <w:pPr>
        <w:pStyle w:val="Textodenotaalfinal"/>
        <w:spacing w:line="360" w:lineRule="auto"/>
        <w:ind w:right="51" w:firstLine="709"/>
        <w:jc w:val="center"/>
        <w:rPr>
          <w:rFonts w:ascii="Bookman Old Style" w:hAnsi="Bookman Old Style"/>
          <w:b/>
          <w:bCs/>
          <w:iCs/>
          <w:sz w:val="28"/>
          <w:szCs w:val="28"/>
          <w:lang w:val="es-MX"/>
        </w:rPr>
      </w:pPr>
    </w:p>
    <w:p w14:paraId="4CBB2676"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42BF5249"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50E3DA70" w14:textId="77777777" w:rsidR="00634FB4" w:rsidRPr="00AF1F0F" w:rsidRDefault="00634FB4" w:rsidP="00634FB4">
      <w:pPr>
        <w:spacing w:after="0" w:line="360" w:lineRule="auto"/>
        <w:ind w:right="51" w:firstLine="709"/>
        <w:jc w:val="center"/>
        <w:rPr>
          <w:rFonts w:ascii="Bookman Old Style" w:hAnsi="Bookman Old Style"/>
          <w:sz w:val="28"/>
          <w:szCs w:val="28"/>
          <w:lang w:val="es-MX"/>
        </w:rPr>
      </w:pPr>
      <w:r w:rsidRPr="00AF1F0F">
        <w:rPr>
          <w:rFonts w:ascii="Bookman Old Style" w:hAnsi="Bookman Old Style"/>
          <w:b/>
          <w:sz w:val="28"/>
          <w:szCs w:val="28"/>
        </w:rPr>
        <w:t>HUGO QUINTERO BERNATE</w:t>
      </w:r>
    </w:p>
    <w:p w14:paraId="503FD92C"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3C7B48B2" w14:textId="77777777" w:rsidR="00634FB4"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4FDF65BF" w14:textId="77777777" w:rsidR="00AF1F0F" w:rsidRPr="00AF1F0F" w:rsidRDefault="00AF1F0F" w:rsidP="00634FB4">
      <w:pPr>
        <w:pStyle w:val="Textodenotaalfinal"/>
        <w:spacing w:line="360" w:lineRule="auto"/>
        <w:ind w:right="51" w:firstLine="709"/>
        <w:jc w:val="center"/>
        <w:rPr>
          <w:rFonts w:ascii="Bookman Old Style" w:hAnsi="Bookman Old Style"/>
          <w:b/>
          <w:bCs/>
          <w:iCs/>
          <w:sz w:val="28"/>
          <w:szCs w:val="28"/>
          <w:lang w:val="es-MX"/>
        </w:rPr>
      </w:pPr>
    </w:p>
    <w:p w14:paraId="60A0BB17" w14:textId="77777777" w:rsidR="00634FB4" w:rsidRPr="00AF1F0F" w:rsidRDefault="00634FB4" w:rsidP="00634FB4">
      <w:pPr>
        <w:pStyle w:val="Textodenotaalfinal"/>
        <w:spacing w:line="360" w:lineRule="auto"/>
        <w:ind w:right="51" w:firstLine="709"/>
        <w:jc w:val="center"/>
        <w:rPr>
          <w:rFonts w:ascii="Bookman Old Style" w:hAnsi="Bookman Old Style"/>
          <w:b/>
          <w:bCs/>
          <w:iCs/>
          <w:sz w:val="28"/>
          <w:szCs w:val="28"/>
          <w:lang w:val="es-MX"/>
        </w:rPr>
      </w:pPr>
    </w:p>
    <w:p w14:paraId="6A474ACA"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r w:rsidRPr="00AF1F0F">
        <w:rPr>
          <w:rFonts w:ascii="Bookman Old Style" w:hAnsi="Bookman Old Style"/>
          <w:b/>
          <w:sz w:val="28"/>
          <w:szCs w:val="28"/>
        </w:rPr>
        <w:t>JOSÉ JOAQUÍN URBANO MARTÍNEZ</w:t>
      </w:r>
    </w:p>
    <w:p w14:paraId="4C0D0E2F" w14:textId="77777777" w:rsidR="00634FB4" w:rsidRDefault="00634FB4" w:rsidP="00634FB4">
      <w:pPr>
        <w:pStyle w:val="Textodenotaalfinal"/>
        <w:spacing w:line="360" w:lineRule="auto"/>
        <w:ind w:right="51" w:firstLine="709"/>
        <w:jc w:val="center"/>
        <w:rPr>
          <w:rFonts w:ascii="Bookman Old Style" w:hAnsi="Bookman Old Style"/>
          <w:b/>
          <w:sz w:val="28"/>
          <w:szCs w:val="28"/>
        </w:rPr>
      </w:pPr>
    </w:p>
    <w:p w14:paraId="213337D0" w14:textId="77777777" w:rsidR="00AF1F0F" w:rsidRPr="00AF1F0F" w:rsidRDefault="00AF1F0F" w:rsidP="00634FB4">
      <w:pPr>
        <w:pStyle w:val="Textodenotaalfinal"/>
        <w:spacing w:line="360" w:lineRule="auto"/>
        <w:ind w:right="51" w:firstLine="709"/>
        <w:jc w:val="center"/>
        <w:rPr>
          <w:rFonts w:ascii="Bookman Old Style" w:hAnsi="Bookman Old Style"/>
          <w:b/>
          <w:sz w:val="28"/>
          <w:szCs w:val="28"/>
        </w:rPr>
      </w:pPr>
    </w:p>
    <w:p w14:paraId="2BE60302"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p>
    <w:p w14:paraId="320E26B7"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p>
    <w:p w14:paraId="63EFFCCA" w14:textId="77777777" w:rsidR="00634FB4" w:rsidRPr="00AF1F0F" w:rsidRDefault="00634FB4" w:rsidP="00634FB4">
      <w:pPr>
        <w:pStyle w:val="Textodenotaalfinal"/>
        <w:spacing w:line="360" w:lineRule="auto"/>
        <w:ind w:right="51" w:firstLine="709"/>
        <w:jc w:val="center"/>
        <w:rPr>
          <w:rFonts w:ascii="Bookman Old Style" w:hAnsi="Bookman Old Style"/>
          <w:b/>
          <w:sz w:val="28"/>
          <w:szCs w:val="28"/>
        </w:rPr>
      </w:pPr>
      <w:r w:rsidRPr="00AF1F0F">
        <w:rPr>
          <w:rFonts w:ascii="Bookman Old Style" w:hAnsi="Bookman Old Style"/>
          <w:b/>
          <w:sz w:val="28"/>
          <w:szCs w:val="28"/>
        </w:rPr>
        <w:t>Nubia Yolanda Nova García</w:t>
      </w:r>
    </w:p>
    <w:p w14:paraId="29FFB310" w14:textId="44F0E37B" w:rsidR="006225F0" w:rsidRDefault="00634FB4" w:rsidP="00AF1F0F">
      <w:pPr>
        <w:tabs>
          <w:tab w:val="left" w:pos="0"/>
        </w:tabs>
        <w:spacing w:after="0" w:line="360" w:lineRule="auto"/>
        <w:ind w:right="51"/>
        <w:jc w:val="center"/>
      </w:pPr>
      <w:r w:rsidRPr="00AF1F0F">
        <w:rPr>
          <w:rFonts w:ascii="Bookman Old Style" w:hAnsi="Bookman Old Style"/>
          <w:b/>
          <w:sz w:val="28"/>
          <w:szCs w:val="28"/>
        </w:rPr>
        <w:tab/>
        <w:t>Secretaria</w:t>
      </w:r>
    </w:p>
    <w:sectPr w:rsidR="006225F0" w:rsidSect="005274C7">
      <w:headerReference w:type="even" r:id="rId11"/>
      <w:headerReference w:type="default" r:id="rId12"/>
      <w:footerReference w:type="even" r:id="rId13"/>
      <w:footerReference w:type="default" r:id="rId14"/>
      <w:headerReference w:type="first" r:id="rId15"/>
      <w:footerReference w:type="first" r:id="rId16"/>
      <w:pgSz w:w="12242" w:h="18722" w:code="14"/>
      <w:pgMar w:top="2268" w:right="1701" w:bottom="1701" w:left="226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605C" w14:textId="77777777" w:rsidR="00405FA5" w:rsidRDefault="00405FA5" w:rsidP="00D67CDD">
      <w:pPr>
        <w:spacing w:after="0" w:line="240" w:lineRule="auto"/>
      </w:pPr>
      <w:r>
        <w:separator/>
      </w:r>
    </w:p>
  </w:endnote>
  <w:endnote w:type="continuationSeparator" w:id="0">
    <w:p w14:paraId="0BDC2F99" w14:textId="77777777" w:rsidR="00405FA5" w:rsidRDefault="00405FA5" w:rsidP="00D6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Bold">
    <w:altName w:val="Calibri"/>
    <w:panose1 w:val="00000000000000000000"/>
    <w:charset w:val="00"/>
    <w:family w:val="swiss"/>
    <w:notTrueType/>
    <w:pitch w:val="default"/>
    <w:sig w:usb0="0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85C2" w14:textId="77777777" w:rsidR="00C81183" w:rsidRDefault="00C81183" w:rsidP="0007200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5D257D" w14:textId="77777777" w:rsidR="00C81183" w:rsidRDefault="00C81183" w:rsidP="000720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121194"/>
      <w:docPartObj>
        <w:docPartGallery w:val="Page Numbers (Bottom of Page)"/>
        <w:docPartUnique/>
      </w:docPartObj>
    </w:sdtPr>
    <w:sdtContent>
      <w:p w14:paraId="7607F241" w14:textId="68BD419B" w:rsidR="003C2DE5" w:rsidRDefault="003C2DE5">
        <w:pPr>
          <w:pStyle w:val="Piedepgina"/>
          <w:jc w:val="right"/>
        </w:pPr>
        <w:r>
          <w:fldChar w:fldCharType="begin"/>
        </w:r>
        <w:r>
          <w:instrText>PAGE   \* MERGEFORMAT</w:instrText>
        </w:r>
        <w:r>
          <w:fldChar w:fldCharType="separate"/>
        </w:r>
        <w:r>
          <w:t>2</w:t>
        </w:r>
        <w:r>
          <w:fldChar w:fldCharType="end"/>
        </w:r>
      </w:p>
    </w:sdtContent>
  </w:sdt>
  <w:p w14:paraId="7ADE15B3" w14:textId="77777777" w:rsidR="00C81183" w:rsidRDefault="00C81183" w:rsidP="0007200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382856"/>
      <w:docPartObj>
        <w:docPartGallery w:val="Page Numbers (Bottom of Page)"/>
        <w:docPartUnique/>
      </w:docPartObj>
    </w:sdtPr>
    <w:sdtContent>
      <w:p w14:paraId="31BEB2E2" w14:textId="105A6D85" w:rsidR="003C2DE5" w:rsidRDefault="003C2DE5">
        <w:pPr>
          <w:pStyle w:val="Piedepgina"/>
          <w:jc w:val="right"/>
        </w:pPr>
        <w:r>
          <w:fldChar w:fldCharType="begin"/>
        </w:r>
        <w:r>
          <w:instrText>PAGE   \* MERGEFORMAT</w:instrText>
        </w:r>
        <w:r>
          <w:fldChar w:fldCharType="separate"/>
        </w:r>
        <w:r>
          <w:t>2</w:t>
        </w:r>
        <w:r>
          <w:fldChar w:fldCharType="end"/>
        </w:r>
      </w:p>
    </w:sdtContent>
  </w:sdt>
  <w:p w14:paraId="2D7662F2" w14:textId="77777777" w:rsidR="003C2DE5" w:rsidRDefault="003C2D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67DC2" w14:textId="77777777" w:rsidR="00405FA5" w:rsidRDefault="00405FA5" w:rsidP="00D67CDD">
      <w:pPr>
        <w:spacing w:after="0" w:line="240" w:lineRule="auto"/>
      </w:pPr>
      <w:r>
        <w:separator/>
      </w:r>
    </w:p>
  </w:footnote>
  <w:footnote w:type="continuationSeparator" w:id="0">
    <w:p w14:paraId="76C6DC30" w14:textId="77777777" w:rsidR="00405FA5" w:rsidRDefault="00405FA5" w:rsidP="00D67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BC5E" w14:textId="5F2EEE60" w:rsidR="00F416CF" w:rsidRDefault="00634FB4">
    <w:pPr>
      <w:pStyle w:val="Encabezado"/>
    </w:pPr>
    <w:r>
      <w:rPr>
        <w:noProof/>
      </w:rPr>
      <w:drawing>
        <wp:anchor distT="0" distB="0" distL="114300" distR="114300" simplePos="0" relativeHeight="251664384" behindDoc="1" locked="0" layoutInCell="0" allowOverlap="1" wp14:anchorId="539A1C5E" wp14:editId="57EDF723">
          <wp:simplePos x="0" y="0"/>
          <wp:positionH relativeFrom="margin">
            <wp:align>center</wp:align>
          </wp:positionH>
          <wp:positionV relativeFrom="margin">
            <wp:align>center</wp:align>
          </wp:positionV>
          <wp:extent cx="3991610" cy="1626870"/>
          <wp:effectExtent l="0" t="0" r="889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0" allowOverlap="1" wp14:anchorId="793E4D3D" wp14:editId="37D79260">
          <wp:simplePos x="0" y="0"/>
          <wp:positionH relativeFrom="margin">
            <wp:align>center</wp:align>
          </wp:positionH>
          <wp:positionV relativeFrom="margin">
            <wp:align>center</wp:align>
          </wp:positionV>
          <wp:extent cx="3991610" cy="1626870"/>
          <wp:effectExtent l="0" t="0" r="889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1610" cy="16268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0" allowOverlap="1" wp14:anchorId="32781907" wp14:editId="098DB14C">
          <wp:simplePos x="0" y="0"/>
          <wp:positionH relativeFrom="margin">
            <wp:align>center</wp:align>
          </wp:positionH>
          <wp:positionV relativeFrom="margin">
            <wp:align>center</wp:align>
          </wp:positionV>
          <wp:extent cx="5241925" cy="341312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41925" cy="3413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D0C0" w14:textId="0B3D6E33" w:rsidR="003C2DE5" w:rsidRPr="00FA1533" w:rsidRDefault="003C2DE5" w:rsidP="003C2DE5">
    <w:pPr>
      <w:pStyle w:val="Encabezado"/>
      <w:jc w:val="right"/>
      <w:rPr>
        <w:rFonts w:ascii="Bookman Old Style" w:hAnsi="Bookman Old Style"/>
        <w:sz w:val="20"/>
        <w:szCs w:val="20"/>
        <w:lang w:val="en-US"/>
      </w:rPr>
    </w:pPr>
    <w:r w:rsidRPr="00FA1533">
      <w:rPr>
        <w:rFonts w:ascii="Bookman Old Style" w:hAnsi="Bookman Old Style"/>
        <w:sz w:val="20"/>
        <w:szCs w:val="20"/>
        <w:lang w:val="en-US"/>
      </w:rPr>
      <w:t>CUI</w:t>
    </w:r>
    <w:r w:rsidRPr="003C2DE5">
      <w:rPr>
        <w:rFonts w:ascii="Bookman Old Style" w:hAnsi="Bookman Old Style"/>
        <w:sz w:val="20"/>
        <w:szCs w:val="20"/>
        <w:lang w:val="en-US"/>
      </w:rPr>
      <w:t xml:space="preserve">.: </w:t>
    </w:r>
    <w:r w:rsidRPr="003C2DE5">
      <w:rPr>
        <w:rFonts w:ascii="Bookman Old Style" w:eastAsiaTheme="minorHAnsi" w:hAnsi="Bookman Old Style" w:cs="DejaVuSans"/>
        <w:color w:val="212529"/>
        <w:sz w:val="20"/>
        <w:szCs w:val="20"/>
        <w:lang w:val="es-CO"/>
      </w:rPr>
      <w:t>81001610568920170018801</w:t>
    </w:r>
  </w:p>
  <w:p w14:paraId="7D40392D" w14:textId="5279D01B" w:rsidR="003C2DE5" w:rsidRPr="00FA1533" w:rsidRDefault="003C2DE5" w:rsidP="003C2DE5">
    <w:pPr>
      <w:pStyle w:val="Encabezado"/>
      <w:jc w:val="right"/>
      <w:rPr>
        <w:rFonts w:ascii="Bookman Old Style" w:hAnsi="Bookman Old Style"/>
        <w:sz w:val="20"/>
        <w:szCs w:val="20"/>
        <w:lang w:val="en-US"/>
      </w:rPr>
    </w:pPr>
    <w:r w:rsidRPr="00FA1533">
      <w:rPr>
        <w:rFonts w:ascii="Bookman Old Style" w:hAnsi="Bookman Old Style"/>
        <w:sz w:val="20"/>
        <w:szCs w:val="20"/>
        <w:lang w:val="en-US"/>
      </w:rPr>
      <w:t xml:space="preserve">N.I.: </w:t>
    </w:r>
    <w:r>
      <w:rPr>
        <w:rFonts w:ascii="Bookman Old Style" w:hAnsi="Bookman Old Style"/>
        <w:sz w:val="20"/>
        <w:szCs w:val="20"/>
        <w:lang w:val="en-US"/>
      </w:rPr>
      <w:t>69048</w:t>
    </w:r>
  </w:p>
  <w:p w14:paraId="23DE74FA" w14:textId="77777777" w:rsidR="003C2DE5" w:rsidRPr="0084557E" w:rsidRDefault="003C2DE5" w:rsidP="003C2DE5">
    <w:pPr>
      <w:pStyle w:val="Encabezado"/>
      <w:jc w:val="right"/>
      <w:rPr>
        <w:rFonts w:ascii="Bookman Old Style" w:eastAsiaTheme="minorHAnsi" w:hAnsi="Bookman Old Style" w:cs="Bookman Old Style"/>
        <w:color w:val="000000"/>
        <w:sz w:val="24"/>
        <w:szCs w:val="24"/>
        <w:lang w:val="es-CO"/>
      </w:rPr>
    </w:pPr>
    <w:r>
      <w:rPr>
        <w:rFonts w:ascii="Bookman Old Style" w:hAnsi="Bookman Old Style"/>
        <w:sz w:val="20"/>
        <w:szCs w:val="20"/>
        <w:lang w:val="en-US"/>
      </w:rPr>
      <w:t>Casación</w:t>
    </w:r>
  </w:p>
  <w:p w14:paraId="3D694F10" w14:textId="17D76B4E" w:rsidR="00C81183" w:rsidRDefault="003C2DE5" w:rsidP="0007200E">
    <w:pPr>
      <w:pStyle w:val="Encabezado"/>
      <w:jc w:val="right"/>
      <w:rPr>
        <w:rFonts w:ascii="Bookman Old Style" w:hAnsi="Bookman Old Style"/>
        <w:sz w:val="20"/>
        <w:szCs w:val="20"/>
      </w:rPr>
    </w:pPr>
    <w:r w:rsidRPr="0084557E">
      <w:rPr>
        <w:rFonts w:ascii="Bookman Old Style" w:eastAsiaTheme="minorHAnsi" w:hAnsi="Bookman Old Style" w:cs="Bookman Old Style"/>
        <w:color w:val="000000"/>
        <w:sz w:val="24"/>
        <w:szCs w:val="24"/>
        <w:lang w:val="es-CO"/>
      </w:rPr>
      <w:t xml:space="preserve"> </w:t>
    </w:r>
    <w:r>
      <w:rPr>
        <w:rFonts w:ascii="Bookman Old Style" w:eastAsiaTheme="minorHAnsi" w:hAnsi="Bookman Old Style" w:cs="Bookman Old Style"/>
        <w:color w:val="000000"/>
        <w:sz w:val="24"/>
        <w:szCs w:val="24"/>
        <w:lang w:val="es-CO"/>
      </w:rPr>
      <w:t>Harold David de Armas Fontalvo</w:t>
    </w:r>
  </w:p>
  <w:p w14:paraId="0C0AE88A" w14:textId="7FFBE342" w:rsidR="00C81183" w:rsidRPr="00572DD5" w:rsidRDefault="00241A5A" w:rsidP="0007200E">
    <w:pPr>
      <w:pStyle w:val="Encabezado"/>
      <w:jc w:val="right"/>
      <w:rPr>
        <w:rFonts w:ascii="Bookman Old Style" w:hAnsi="Bookman Old Style"/>
        <w:sz w:val="20"/>
        <w:szCs w:val="20"/>
      </w:rPr>
    </w:pPr>
    <w:r>
      <w:rPr>
        <w:noProof/>
      </w:rPr>
      <w:drawing>
        <wp:anchor distT="0" distB="0" distL="114300" distR="114300" simplePos="0" relativeHeight="251669504" behindDoc="1" locked="0" layoutInCell="1" allowOverlap="1" wp14:anchorId="00A82CAB" wp14:editId="24B0F8DE">
          <wp:simplePos x="0" y="0"/>
          <wp:positionH relativeFrom="page">
            <wp:align>center</wp:align>
          </wp:positionH>
          <wp:positionV relativeFrom="margin">
            <wp:align>center</wp:align>
          </wp:positionV>
          <wp:extent cx="5376745" cy="2245261"/>
          <wp:effectExtent l="0" t="0" r="0" b="3175"/>
          <wp:wrapNone/>
          <wp:docPr id="7196927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92781"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376745" cy="224526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18D1" w14:textId="35802590" w:rsidR="00C81183" w:rsidRPr="00EC6CBD" w:rsidRDefault="00241A5A" w:rsidP="0007200E">
    <w:pPr>
      <w:pStyle w:val="Encabezado"/>
      <w:jc w:val="center"/>
    </w:pPr>
    <w:r>
      <w:rPr>
        <w:noProof/>
      </w:rPr>
      <w:drawing>
        <wp:anchor distT="0" distB="0" distL="114300" distR="114300" simplePos="0" relativeHeight="251667456" behindDoc="1" locked="0" layoutInCell="1" allowOverlap="1" wp14:anchorId="102DDE2E" wp14:editId="79436B01">
          <wp:simplePos x="0" y="0"/>
          <wp:positionH relativeFrom="page">
            <wp:posOffset>1167130</wp:posOffset>
          </wp:positionH>
          <wp:positionV relativeFrom="margin">
            <wp:posOffset>2285902</wp:posOffset>
          </wp:positionV>
          <wp:extent cx="5410432" cy="2259328"/>
          <wp:effectExtent l="0" t="0" r="0" b="8255"/>
          <wp:wrapNone/>
          <wp:docPr id="13914525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52592" name="Imagen 2"/>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B36DB1">
      <w:rPr>
        <w:noProof/>
        <w:lang w:val="es-CO" w:eastAsia="es-CO"/>
      </w:rPr>
      <w:drawing>
        <wp:inline distT="0" distB="0" distL="0" distR="0" wp14:anchorId="2935B74C" wp14:editId="0CC5B59B">
          <wp:extent cx="1981200" cy="1981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428"/>
    <w:multiLevelType w:val="singleLevel"/>
    <w:tmpl w:val="576EA164"/>
    <w:lvl w:ilvl="0">
      <w:start w:val="3"/>
      <w:numFmt w:val="decimal"/>
      <w:lvlText w:val="%1."/>
      <w:legacy w:legacy="1" w:legacySpace="0" w:legacyIndent="240"/>
      <w:lvlJc w:val="left"/>
      <w:rPr>
        <w:rFonts w:ascii="Calibri" w:hAnsi="Calibri" w:hint="default"/>
      </w:rPr>
    </w:lvl>
  </w:abstractNum>
  <w:abstractNum w:abstractNumId="1" w15:restartNumberingAfterBreak="0">
    <w:nsid w:val="039D43F1"/>
    <w:multiLevelType w:val="singleLevel"/>
    <w:tmpl w:val="898ADAAE"/>
    <w:lvl w:ilvl="0">
      <w:start w:val="1"/>
      <w:numFmt w:val="decimal"/>
      <w:lvlText w:val="%1."/>
      <w:legacy w:legacy="1" w:legacySpace="0" w:legacyIndent="250"/>
      <w:lvlJc w:val="left"/>
      <w:rPr>
        <w:rFonts w:ascii="Calibri" w:hAnsi="Calibri" w:hint="default"/>
      </w:rPr>
    </w:lvl>
  </w:abstractNum>
  <w:abstractNum w:abstractNumId="2" w15:restartNumberingAfterBreak="0">
    <w:nsid w:val="0AB203A2"/>
    <w:multiLevelType w:val="singleLevel"/>
    <w:tmpl w:val="338A9D7E"/>
    <w:lvl w:ilvl="0">
      <w:start w:val="1"/>
      <w:numFmt w:val="lowerLetter"/>
      <w:lvlText w:val="%1)"/>
      <w:legacy w:legacy="1" w:legacySpace="0" w:legacyIndent="250"/>
      <w:lvlJc w:val="left"/>
      <w:rPr>
        <w:rFonts w:ascii="Calibri" w:hAnsi="Calibri" w:hint="default"/>
      </w:rPr>
    </w:lvl>
  </w:abstractNum>
  <w:abstractNum w:abstractNumId="3" w15:restartNumberingAfterBreak="0">
    <w:nsid w:val="0BF74630"/>
    <w:multiLevelType w:val="singleLevel"/>
    <w:tmpl w:val="D68EB636"/>
    <w:lvl w:ilvl="0">
      <w:start w:val="1"/>
      <w:numFmt w:val="lowerLetter"/>
      <w:lvlText w:val="%1)"/>
      <w:legacy w:legacy="1" w:legacySpace="0" w:legacyIndent="254"/>
      <w:lvlJc w:val="left"/>
      <w:rPr>
        <w:rFonts w:ascii="Calibri" w:hAnsi="Calibri" w:hint="default"/>
      </w:rPr>
    </w:lvl>
  </w:abstractNum>
  <w:abstractNum w:abstractNumId="4" w15:restartNumberingAfterBreak="0">
    <w:nsid w:val="24FA54E4"/>
    <w:multiLevelType w:val="singleLevel"/>
    <w:tmpl w:val="0672BAE4"/>
    <w:lvl w:ilvl="0">
      <w:start w:val="2"/>
      <w:numFmt w:val="decimal"/>
      <w:lvlText w:val="%1."/>
      <w:legacy w:legacy="1" w:legacySpace="0" w:legacyIndent="240"/>
      <w:lvlJc w:val="left"/>
      <w:rPr>
        <w:rFonts w:ascii="Calibri" w:hAnsi="Calibri" w:hint="default"/>
      </w:rPr>
    </w:lvl>
  </w:abstractNum>
  <w:abstractNum w:abstractNumId="5" w15:restartNumberingAfterBreak="0">
    <w:nsid w:val="2A996381"/>
    <w:multiLevelType w:val="singleLevel"/>
    <w:tmpl w:val="4206301E"/>
    <w:lvl w:ilvl="0">
      <w:start w:val="1"/>
      <w:numFmt w:val="lowerLetter"/>
      <w:lvlText w:val="%1)"/>
      <w:legacy w:legacy="1" w:legacySpace="0" w:legacyIndent="298"/>
      <w:lvlJc w:val="left"/>
      <w:rPr>
        <w:rFonts w:ascii="Calibri" w:hAnsi="Calibri" w:hint="default"/>
      </w:rPr>
    </w:lvl>
  </w:abstractNum>
  <w:abstractNum w:abstractNumId="6" w15:restartNumberingAfterBreak="0">
    <w:nsid w:val="2C840845"/>
    <w:multiLevelType w:val="singleLevel"/>
    <w:tmpl w:val="EDF437F4"/>
    <w:lvl w:ilvl="0">
      <w:start w:val="3"/>
      <w:numFmt w:val="lowerLetter"/>
      <w:lvlText w:val="%1)"/>
      <w:legacy w:legacy="1" w:legacySpace="0" w:legacyIndent="298"/>
      <w:lvlJc w:val="left"/>
      <w:rPr>
        <w:rFonts w:ascii="Calibri" w:hAnsi="Calibri" w:hint="default"/>
      </w:rPr>
    </w:lvl>
  </w:abstractNum>
  <w:abstractNum w:abstractNumId="7" w15:restartNumberingAfterBreak="0">
    <w:nsid w:val="2F7731CF"/>
    <w:multiLevelType w:val="singleLevel"/>
    <w:tmpl w:val="CB200CD2"/>
    <w:lvl w:ilvl="0">
      <w:start w:val="1"/>
      <w:numFmt w:val="decimal"/>
      <w:lvlText w:val="%1."/>
      <w:legacy w:legacy="1" w:legacySpace="0" w:legacyIndent="360"/>
      <w:lvlJc w:val="left"/>
      <w:rPr>
        <w:rFonts w:ascii="Calibri" w:hAnsi="Calibri" w:hint="default"/>
      </w:rPr>
    </w:lvl>
  </w:abstractNum>
  <w:abstractNum w:abstractNumId="8" w15:restartNumberingAfterBreak="0">
    <w:nsid w:val="39F76D59"/>
    <w:multiLevelType w:val="singleLevel"/>
    <w:tmpl w:val="77101164"/>
    <w:lvl w:ilvl="0">
      <w:start w:val="1"/>
      <w:numFmt w:val="lowerLetter"/>
      <w:lvlText w:val="%1)"/>
      <w:legacy w:legacy="1" w:legacySpace="0" w:legacyIndent="259"/>
      <w:lvlJc w:val="left"/>
      <w:rPr>
        <w:rFonts w:ascii="Calibri" w:hAnsi="Calibri" w:hint="default"/>
      </w:rPr>
    </w:lvl>
  </w:abstractNum>
  <w:abstractNum w:abstractNumId="9" w15:restartNumberingAfterBreak="0">
    <w:nsid w:val="3B335AA8"/>
    <w:multiLevelType w:val="singleLevel"/>
    <w:tmpl w:val="60D65AA2"/>
    <w:lvl w:ilvl="0">
      <w:start w:val="1"/>
      <w:numFmt w:val="lowerLetter"/>
      <w:lvlText w:val="%1)"/>
      <w:legacy w:legacy="1" w:legacySpace="0" w:legacyIndent="355"/>
      <w:lvlJc w:val="left"/>
      <w:rPr>
        <w:rFonts w:ascii="Calibri" w:hAnsi="Calibri" w:hint="default"/>
      </w:rPr>
    </w:lvl>
  </w:abstractNum>
  <w:abstractNum w:abstractNumId="10" w15:restartNumberingAfterBreak="0">
    <w:nsid w:val="40F83589"/>
    <w:multiLevelType w:val="singleLevel"/>
    <w:tmpl w:val="A7BC6ED2"/>
    <w:lvl w:ilvl="0">
      <w:start w:val="1"/>
      <w:numFmt w:val="decimal"/>
      <w:lvlText w:val="%1."/>
      <w:legacy w:legacy="1" w:legacySpace="0" w:legacyIndent="274"/>
      <w:lvlJc w:val="left"/>
      <w:rPr>
        <w:rFonts w:ascii="Calibri" w:hAnsi="Calibri" w:hint="default"/>
      </w:rPr>
    </w:lvl>
  </w:abstractNum>
  <w:abstractNum w:abstractNumId="11" w15:restartNumberingAfterBreak="0">
    <w:nsid w:val="6D5D460D"/>
    <w:multiLevelType w:val="singleLevel"/>
    <w:tmpl w:val="215A0382"/>
    <w:lvl w:ilvl="0">
      <w:start w:val="2"/>
      <w:numFmt w:val="decimal"/>
      <w:lvlText w:val="%1."/>
      <w:legacy w:legacy="1" w:legacySpace="0" w:legacyIndent="250"/>
      <w:lvlJc w:val="left"/>
      <w:rPr>
        <w:rFonts w:ascii="Calibri" w:hAnsi="Calibri" w:hint="default"/>
      </w:rPr>
    </w:lvl>
  </w:abstractNum>
  <w:abstractNum w:abstractNumId="12" w15:restartNumberingAfterBreak="0">
    <w:nsid w:val="7D9A5845"/>
    <w:multiLevelType w:val="multilevel"/>
    <w:tmpl w:val="0080850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5040" w:hanging="2160"/>
      </w:pPr>
    </w:lvl>
    <w:lvl w:ilvl="8">
      <w:start w:val="1"/>
      <w:numFmt w:val="decimal"/>
      <w:isLgl/>
      <w:lvlText w:val="%1.%2.%3.%4.%5.%6.%7.%8.%9."/>
      <w:lvlJc w:val="left"/>
      <w:pPr>
        <w:ind w:left="5400" w:hanging="2160"/>
      </w:pPr>
    </w:lvl>
  </w:abstractNum>
  <w:num w:numId="1" w16cid:durableId="1236477353">
    <w:abstractNumId w:val="1"/>
  </w:num>
  <w:num w:numId="2" w16cid:durableId="736512432">
    <w:abstractNumId w:val="11"/>
  </w:num>
  <w:num w:numId="3" w16cid:durableId="1218276805">
    <w:abstractNumId w:val="3"/>
  </w:num>
  <w:num w:numId="4" w16cid:durableId="981227108">
    <w:abstractNumId w:val="9"/>
  </w:num>
  <w:num w:numId="5" w16cid:durableId="587038269">
    <w:abstractNumId w:val="7"/>
  </w:num>
  <w:num w:numId="6" w16cid:durableId="740444680">
    <w:abstractNumId w:val="4"/>
  </w:num>
  <w:num w:numId="7" w16cid:durableId="1895892278">
    <w:abstractNumId w:val="5"/>
  </w:num>
  <w:num w:numId="8" w16cid:durableId="1506044934">
    <w:abstractNumId w:val="6"/>
  </w:num>
  <w:num w:numId="9" w16cid:durableId="58597783">
    <w:abstractNumId w:val="0"/>
  </w:num>
  <w:num w:numId="10" w16cid:durableId="62875442">
    <w:abstractNumId w:val="2"/>
  </w:num>
  <w:num w:numId="11" w16cid:durableId="784274960">
    <w:abstractNumId w:val="8"/>
  </w:num>
  <w:num w:numId="12" w16cid:durableId="1772968803">
    <w:abstractNumId w:val="10"/>
  </w:num>
  <w:num w:numId="13" w16cid:durableId="21294268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readOnly" w:formatting="1" w:enforcement="1" w:cryptProviderType="rsaAES" w:cryptAlgorithmClass="hash" w:cryptAlgorithmType="typeAny" w:cryptAlgorithmSid="14" w:cryptSpinCount="100000" w:hash="/JslMYNBV9FiZkhw/QxjaecNQbavgESyXMvhlTqaQLzqgF0dFuvSGdKSlvGWNnuOk27JDJQzvyRQUVSYR3Y7eA==" w:salt="E8yMrtuZEbgnXtDyxGRi+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41"/>
    <w:rsid w:val="00023559"/>
    <w:rsid w:val="000244A8"/>
    <w:rsid w:val="000273DE"/>
    <w:rsid w:val="00033D73"/>
    <w:rsid w:val="00042B74"/>
    <w:rsid w:val="0004437B"/>
    <w:rsid w:val="00052107"/>
    <w:rsid w:val="00056C07"/>
    <w:rsid w:val="00067610"/>
    <w:rsid w:val="0007200E"/>
    <w:rsid w:val="0007650E"/>
    <w:rsid w:val="00085CE7"/>
    <w:rsid w:val="00095C76"/>
    <w:rsid w:val="000A0FEA"/>
    <w:rsid w:val="000A3A23"/>
    <w:rsid w:val="000C4247"/>
    <w:rsid w:val="000C5724"/>
    <w:rsid w:val="000D3302"/>
    <w:rsid w:val="000D4C05"/>
    <w:rsid w:val="000D4EBE"/>
    <w:rsid w:val="000D5F3E"/>
    <w:rsid w:val="000F2422"/>
    <w:rsid w:val="000F5B01"/>
    <w:rsid w:val="00101D90"/>
    <w:rsid w:val="00106F7B"/>
    <w:rsid w:val="00115D4B"/>
    <w:rsid w:val="00117FF1"/>
    <w:rsid w:val="00120D11"/>
    <w:rsid w:val="00122FD3"/>
    <w:rsid w:val="00142327"/>
    <w:rsid w:val="0016711A"/>
    <w:rsid w:val="001861BB"/>
    <w:rsid w:val="001874C3"/>
    <w:rsid w:val="00197EBA"/>
    <w:rsid w:val="001A2645"/>
    <w:rsid w:val="001B03B2"/>
    <w:rsid w:val="001B5047"/>
    <w:rsid w:val="001B550E"/>
    <w:rsid w:val="001C30E2"/>
    <w:rsid w:val="001C3886"/>
    <w:rsid w:val="001D50B3"/>
    <w:rsid w:val="001D7E43"/>
    <w:rsid w:val="001E4B1D"/>
    <w:rsid w:val="001F148F"/>
    <w:rsid w:val="001F6541"/>
    <w:rsid w:val="00203814"/>
    <w:rsid w:val="00207090"/>
    <w:rsid w:val="002320B6"/>
    <w:rsid w:val="00236C3B"/>
    <w:rsid w:val="002372C9"/>
    <w:rsid w:val="00240C6A"/>
    <w:rsid w:val="00241A5A"/>
    <w:rsid w:val="00242156"/>
    <w:rsid w:val="00264CE1"/>
    <w:rsid w:val="00281C13"/>
    <w:rsid w:val="002863BE"/>
    <w:rsid w:val="00287F82"/>
    <w:rsid w:val="00295E9A"/>
    <w:rsid w:val="002A074C"/>
    <w:rsid w:val="002A253F"/>
    <w:rsid w:val="002A4003"/>
    <w:rsid w:val="002A763C"/>
    <w:rsid w:val="002B5A64"/>
    <w:rsid w:val="002D2996"/>
    <w:rsid w:val="002D597F"/>
    <w:rsid w:val="002D5FC9"/>
    <w:rsid w:val="002E07A7"/>
    <w:rsid w:val="002E3A2B"/>
    <w:rsid w:val="003179AE"/>
    <w:rsid w:val="00337576"/>
    <w:rsid w:val="00337BDA"/>
    <w:rsid w:val="003411A6"/>
    <w:rsid w:val="0035119E"/>
    <w:rsid w:val="00351AC1"/>
    <w:rsid w:val="003722D2"/>
    <w:rsid w:val="0037296E"/>
    <w:rsid w:val="0038541A"/>
    <w:rsid w:val="00391ECF"/>
    <w:rsid w:val="00393821"/>
    <w:rsid w:val="00393C71"/>
    <w:rsid w:val="003C2DE5"/>
    <w:rsid w:val="003C37C1"/>
    <w:rsid w:val="003C45BE"/>
    <w:rsid w:val="003C6C15"/>
    <w:rsid w:val="003D1897"/>
    <w:rsid w:val="003D1C06"/>
    <w:rsid w:val="003D1CCE"/>
    <w:rsid w:val="003F58CB"/>
    <w:rsid w:val="00400C52"/>
    <w:rsid w:val="00402E5A"/>
    <w:rsid w:val="00405FA5"/>
    <w:rsid w:val="00410995"/>
    <w:rsid w:val="00415B4F"/>
    <w:rsid w:val="00423F6C"/>
    <w:rsid w:val="00443B92"/>
    <w:rsid w:val="00457E2B"/>
    <w:rsid w:val="00462B45"/>
    <w:rsid w:val="00467C0C"/>
    <w:rsid w:val="00476911"/>
    <w:rsid w:val="0048590F"/>
    <w:rsid w:val="004914D1"/>
    <w:rsid w:val="00495238"/>
    <w:rsid w:val="004A2256"/>
    <w:rsid w:val="004C3FE7"/>
    <w:rsid w:val="004F11E6"/>
    <w:rsid w:val="004F4B3A"/>
    <w:rsid w:val="004F6093"/>
    <w:rsid w:val="00500A67"/>
    <w:rsid w:val="00504D22"/>
    <w:rsid w:val="005274C7"/>
    <w:rsid w:val="005402A3"/>
    <w:rsid w:val="0054259D"/>
    <w:rsid w:val="00553338"/>
    <w:rsid w:val="00555CD6"/>
    <w:rsid w:val="00565221"/>
    <w:rsid w:val="00574EE7"/>
    <w:rsid w:val="005765B1"/>
    <w:rsid w:val="00594D75"/>
    <w:rsid w:val="005D57FE"/>
    <w:rsid w:val="005D5845"/>
    <w:rsid w:val="005E19A2"/>
    <w:rsid w:val="005E2034"/>
    <w:rsid w:val="005F3CE3"/>
    <w:rsid w:val="005F7C4E"/>
    <w:rsid w:val="0060308C"/>
    <w:rsid w:val="00603BB5"/>
    <w:rsid w:val="0061343B"/>
    <w:rsid w:val="0061511A"/>
    <w:rsid w:val="006206A7"/>
    <w:rsid w:val="006225F0"/>
    <w:rsid w:val="00622907"/>
    <w:rsid w:val="0062610D"/>
    <w:rsid w:val="00634FB4"/>
    <w:rsid w:val="006458CA"/>
    <w:rsid w:val="00667F3E"/>
    <w:rsid w:val="00680992"/>
    <w:rsid w:val="00697269"/>
    <w:rsid w:val="006A5605"/>
    <w:rsid w:val="006A5F68"/>
    <w:rsid w:val="006C2336"/>
    <w:rsid w:val="006D1705"/>
    <w:rsid w:val="006D2036"/>
    <w:rsid w:val="006D379B"/>
    <w:rsid w:val="006D3EA8"/>
    <w:rsid w:val="006E0D49"/>
    <w:rsid w:val="006F4F23"/>
    <w:rsid w:val="007169BD"/>
    <w:rsid w:val="00716FF5"/>
    <w:rsid w:val="00733173"/>
    <w:rsid w:val="00743A54"/>
    <w:rsid w:val="00744CEE"/>
    <w:rsid w:val="007511BF"/>
    <w:rsid w:val="0079064C"/>
    <w:rsid w:val="00793129"/>
    <w:rsid w:val="007B000D"/>
    <w:rsid w:val="007B70A9"/>
    <w:rsid w:val="007D6A98"/>
    <w:rsid w:val="007F641B"/>
    <w:rsid w:val="008031D5"/>
    <w:rsid w:val="008525C4"/>
    <w:rsid w:val="008538FA"/>
    <w:rsid w:val="008605BD"/>
    <w:rsid w:val="00873E84"/>
    <w:rsid w:val="00876047"/>
    <w:rsid w:val="00893B82"/>
    <w:rsid w:val="00894B36"/>
    <w:rsid w:val="008A10B5"/>
    <w:rsid w:val="008A12B4"/>
    <w:rsid w:val="008A330F"/>
    <w:rsid w:val="008B0E1A"/>
    <w:rsid w:val="008B43C6"/>
    <w:rsid w:val="008C07EE"/>
    <w:rsid w:val="008D7F54"/>
    <w:rsid w:val="008E4694"/>
    <w:rsid w:val="008F0C7A"/>
    <w:rsid w:val="008F0D52"/>
    <w:rsid w:val="008F2F96"/>
    <w:rsid w:val="00903744"/>
    <w:rsid w:val="00906220"/>
    <w:rsid w:val="00915E60"/>
    <w:rsid w:val="0091773A"/>
    <w:rsid w:val="00921159"/>
    <w:rsid w:val="009233B1"/>
    <w:rsid w:val="00925512"/>
    <w:rsid w:val="00935673"/>
    <w:rsid w:val="00950C06"/>
    <w:rsid w:val="009517C9"/>
    <w:rsid w:val="009574F2"/>
    <w:rsid w:val="0096274A"/>
    <w:rsid w:val="009627A9"/>
    <w:rsid w:val="00970B2F"/>
    <w:rsid w:val="009752F9"/>
    <w:rsid w:val="00977919"/>
    <w:rsid w:val="00982816"/>
    <w:rsid w:val="009876F3"/>
    <w:rsid w:val="009903A3"/>
    <w:rsid w:val="00991528"/>
    <w:rsid w:val="009945F8"/>
    <w:rsid w:val="009A03FD"/>
    <w:rsid w:val="009A44E6"/>
    <w:rsid w:val="009C573F"/>
    <w:rsid w:val="009D0BA5"/>
    <w:rsid w:val="009D47F4"/>
    <w:rsid w:val="009D5E24"/>
    <w:rsid w:val="009F4491"/>
    <w:rsid w:val="00A06403"/>
    <w:rsid w:val="00A259C6"/>
    <w:rsid w:val="00A35004"/>
    <w:rsid w:val="00A5351A"/>
    <w:rsid w:val="00A66C48"/>
    <w:rsid w:val="00A71963"/>
    <w:rsid w:val="00A73764"/>
    <w:rsid w:val="00AA1095"/>
    <w:rsid w:val="00AE209B"/>
    <w:rsid w:val="00AF1F0F"/>
    <w:rsid w:val="00B04FFE"/>
    <w:rsid w:val="00B2428F"/>
    <w:rsid w:val="00B26A78"/>
    <w:rsid w:val="00B30D07"/>
    <w:rsid w:val="00B34E8D"/>
    <w:rsid w:val="00B36DB1"/>
    <w:rsid w:val="00B37711"/>
    <w:rsid w:val="00B40C09"/>
    <w:rsid w:val="00B45325"/>
    <w:rsid w:val="00B701F1"/>
    <w:rsid w:val="00B744E3"/>
    <w:rsid w:val="00B804EA"/>
    <w:rsid w:val="00B8463D"/>
    <w:rsid w:val="00B925A5"/>
    <w:rsid w:val="00B92D0E"/>
    <w:rsid w:val="00B97DC0"/>
    <w:rsid w:val="00BA25E3"/>
    <w:rsid w:val="00BA7032"/>
    <w:rsid w:val="00BB10E6"/>
    <w:rsid w:val="00BB3972"/>
    <w:rsid w:val="00BB54F3"/>
    <w:rsid w:val="00BB6099"/>
    <w:rsid w:val="00BC0202"/>
    <w:rsid w:val="00BD3EBA"/>
    <w:rsid w:val="00BD3F7C"/>
    <w:rsid w:val="00BE4C67"/>
    <w:rsid w:val="00BE571C"/>
    <w:rsid w:val="00BE58A8"/>
    <w:rsid w:val="00BF4A1D"/>
    <w:rsid w:val="00C04456"/>
    <w:rsid w:val="00C100EA"/>
    <w:rsid w:val="00C10130"/>
    <w:rsid w:val="00C1759D"/>
    <w:rsid w:val="00C24353"/>
    <w:rsid w:val="00C334F3"/>
    <w:rsid w:val="00C402ED"/>
    <w:rsid w:val="00C417B6"/>
    <w:rsid w:val="00C50004"/>
    <w:rsid w:val="00C52296"/>
    <w:rsid w:val="00C636C9"/>
    <w:rsid w:val="00C67159"/>
    <w:rsid w:val="00C72099"/>
    <w:rsid w:val="00C72993"/>
    <w:rsid w:val="00C73EAF"/>
    <w:rsid w:val="00C81183"/>
    <w:rsid w:val="00C825B8"/>
    <w:rsid w:val="00C82DD8"/>
    <w:rsid w:val="00C855CE"/>
    <w:rsid w:val="00C91A79"/>
    <w:rsid w:val="00C96BEE"/>
    <w:rsid w:val="00C97C12"/>
    <w:rsid w:val="00CA6BC5"/>
    <w:rsid w:val="00CB4224"/>
    <w:rsid w:val="00CC21AA"/>
    <w:rsid w:val="00CC360C"/>
    <w:rsid w:val="00CC66D8"/>
    <w:rsid w:val="00CF1538"/>
    <w:rsid w:val="00CF35A9"/>
    <w:rsid w:val="00D02D57"/>
    <w:rsid w:val="00D04BBD"/>
    <w:rsid w:val="00D06C1B"/>
    <w:rsid w:val="00D07A4A"/>
    <w:rsid w:val="00D24D94"/>
    <w:rsid w:val="00D327BA"/>
    <w:rsid w:val="00D45610"/>
    <w:rsid w:val="00D46340"/>
    <w:rsid w:val="00D54BAF"/>
    <w:rsid w:val="00D67CDD"/>
    <w:rsid w:val="00D71313"/>
    <w:rsid w:val="00D905F0"/>
    <w:rsid w:val="00D92688"/>
    <w:rsid w:val="00D964F3"/>
    <w:rsid w:val="00DB1A83"/>
    <w:rsid w:val="00DB2E47"/>
    <w:rsid w:val="00DC1CBA"/>
    <w:rsid w:val="00DC6491"/>
    <w:rsid w:val="00DD31AF"/>
    <w:rsid w:val="00DE3AA0"/>
    <w:rsid w:val="00DE69E3"/>
    <w:rsid w:val="00DF3AE2"/>
    <w:rsid w:val="00E04DE3"/>
    <w:rsid w:val="00E31291"/>
    <w:rsid w:val="00E41525"/>
    <w:rsid w:val="00E47C09"/>
    <w:rsid w:val="00E52D39"/>
    <w:rsid w:val="00E53738"/>
    <w:rsid w:val="00E55185"/>
    <w:rsid w:val="00E55F87"/>
    <w:rsid w:val="00E560A4"/>
    <w:rsid w:val="00E676DC"/>
    <w:rsid w:val="00E738A5"/>
    <w:rsid w:val="00EA02A8"/>
    <w:rsid w:val="00EE4C3E"/>
    <w:rsid w:val="00EF3890"/>
    <w:rsid w:val="00EF46A1"/>
    <w:rsid w:val="00F00494"/>
    <w:rsid w:val="00F05781"/>
    <w:rsid w:val="00F1005E"/>
    <w:rsid w:val="00F158E5"/>
    <w:rsid w:val="00F15AC1"/>
    <w:rsid w:val="00F24EA0"/>
    <w:rsid w:val="00F33664"/>
    <w:rsid w:val="00F416CF"/>
    <w:rsid w:val="00F46347"/>
    <w:rsid w:val="00F91155"/>
    <w:rsid w:val="00F97E09"/>
    <w:rsid w:val="00FA49F2"/>
    <w:rsid w:val="00FA7BDE"/>
    <w:rsid w:val="00FB2344"/>
    <w:rsid w:val="00FC4DB8"/>
    <w:rsid w:val="00FC550E"/>
    <w:rsid w:val="00FC69FD"/>
    <w:rsid w:val="00FD0AEC"/>
    <w:rsid w:val="00FE344B"/>
    <w:rsid w:val="00FF61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CC4E7"/>
  <w15:docId w15:val="{98324D64-68CC-4E18-B4CE-A599A47B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CDD"/>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D67CDD"/>
    <w:pPr>
      <w:keepNext/>
      <w:spacing w:before="240" w:after="60"/>
      <w:outlineLvl w:val="0"/>
    </w:pPr>
    <w:rPr>
      <w:rFonts w:ascii="Cambria" w:hAnsi="Cambria"/>
      <w:b/>
      <w:bCs/>
      <w:kern w:val="32"/>
      <w:sz w:val="32"/>
      <w:szCs w:val="32"/>
    </w:rPr>
  </w:style>
  <w:style w:type="paragraph" w:styleId="Ttulo3">
    <w:name w:val="heading 3"/>
    <w:aliases w:val=" Car"/>
    <w:basedOn w:val="Normal"/>
    <w:next w:val="Normal"/>
    <w:link w:val="Ttulo3Car"/>
    <w:qFormat/>
    <w:rsid w:val="00D67CDD"/>
    <w:pPr>
      <w:keepNext/>
      <w:spacing w:after="0" w:line="360" w:lineRule="auto"/>
      <w:ind w:right="51"/>
      <w:jc w:val="center"/>
      <w:outlineLvl w:val="2"/>
    </w:pPr>
    <w:rPr>
      <w:rFonts w:ascii="Arial" w:eastAsia="Batang" w:hAnsi="Arial"/>
      <w:b/>
      <w:sz w:val="28"/>
      <w:szCs w:val="20"/>
      <w:lang w:val="es-ES_tradnl" w:eastAsia="es-ES"/>
    </w:rPr>
  </w:style>
  <w:style w:type="paragraph" w:styleId="Ttulo5">
    <w:name w:val="heading 5"/>
    <w:basedOn w:val="Normal"/>
    <w:next w:val="Normal"/>
    <w:link w:val="Ttulo5Car"/>
    <w:uiPriority w:val="9"/>
    <w:semiHidden/>
    <w:unhideWhenUsed/>
    <w:qFormat/>
    <w:rsid w:val="00D67CDD"/>
    <w:pPr>
      <w:keepNext/>
      <w:keepLines/>
      <w:spacing w:before="40" w:after="0"/>
      <w:outlineLvl w:val="4"/>
    </w:pPr>
    <w:rPr>
      <w:rFonts w:ascii="Cambria" w:hAnsi="Cambria"/>
      <w:color w:val="365F9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7CDD"/>
    <w:rPr>
      <w:rFonts w:ascii="Cambria" w:eastAsia="Times New Roman" w:hAnsi="Cambria" w:cs="Times New Roman"/>
      <w:b/>
      <w:bCs/>
      <w:kern w:val="32"/>
      <w:sz w:val="32"/>
      <w:szCs w:val="32"/>
    </w:rPr>
  </w:style>
  <w:style w:type="character" w:customStyle="1" w:styleId="Ttulo3Car">
    <w:name w:val="Título 3 Car"/>
    <w:aliases w:val=" Car Car"/>
    <w:basedOn w:val="Fuentedeprrafopredeter"/>
    <w:link w:val="Ttulo3"/>
    <w:rsid w:val="00D67CDD"/>
    <w:rPr>
      <w:rFonts w:ascii="Arial" w:eastAsia="Batang" w:hAnsi="Arial" w:cs="Times New Roman"/>
      <w:b/>
      <w:sz w:val="28"/>
      <w:szCs w:val="20"/>
      <w:lang w:val="es-ES_tradnl" w:eastAsia="es-ES"/>
    </w:rPr>
  </w:style>
  <w:style w:type="character" w:customStyle="1" w:styleId="Ttulo5Car">
    <w:name w:val="Título 5 Car"/>
    <w:basedOn w:val="Fuentedeprrafopredeter"/>
    <w:link w:val="Ttulo5"/>
    <w:uiPriority w:val="9"/>
    <w:semiHidden/>
    <w:rsid w:val="00D67CDD"/>
    <w:rPr>
      <w:rFonts w:ascii="Cambria" w:eastAsia="Times New Roman" w:hAnsi="Cambria" w:cs="Times New Roman"/>
      <w:color w:val="365F91"/>
    </w:rPr>
  </w:style>
  <w:style w:type="paragraph" w:styleId="Encabezado">
    <w:name w:val="header"/>
    <w:basedOn w:val="Normal"/>
    <w:link w:val="EncabezadoCar"/>
    <w:uiPriority w:val="99"/>
    <w:rsid w:val="00D67C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CDD"/>
    <w:rPr>
      <w:rFonts w:ascii="Calibri" w:eastAsia="Times New Roman" w:hAnsi="Calibri" w:cs="Times New Roman"/>
    </w:rPr>
  </w:style>
  <w:style w:type="paragraph" w:styleId="Piedepgina">
    <w:name w:val="footer"/>
    <w:basedOn w:val="Normal"/>
    <w:link w:val="PiedepginaCar"/>
    <w:uiPriority w:val="99"/>
    <w:rsid w:val="00D67C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7CDD"/>
    <w:rPr>
      <w:rFonts w:ascii="Calibri" w:eastAsia="Times New Roman" w:hAnsi="Calibri" w:cs="Times New Roman"/>
    </w:rPr>
  </w:style>
  <w:style w:type="character" w:styleId="Nmerodepgina">
    <w:name w:val="page number"/>
    <w:rsid w:val="00D67CDD"/>
    <w:rPr>
      <w:rFonts w:cs="Times New Roman"/>
    </w:rPr>
  </w:style>
  <w:style w:type="paragraph" w:styleId="Sangradetextonormal">
    <w:name w:val="Body Text Indent"/>
    <w:basedOn w:val="Normal"/>
    <w:link w:val="SangradetextonormalCar"/>
    <w:rsid w:val="00D67CDD"/>
    <w:pPr>
      <w:spacing w:after="120" w:line="240" w:lineRule="auto"/>
      <w:ind w:left="283"/>
    </w:pPr>
    <w:rPr>
      <w:rFonts w:ascii="Arial" w:eastAsia="Calibri" w:hAnsi="Arial" w:cs="Tahoma"/>
      <w:sz w:val="32"/>
      <w:szCs w:val="24"/>
      <w:lang w:val="es-CO" w:eastAsia="es-ES"/>
    </w:rPr>
  </w:style>
  <w:style w:type="character" w:customStyle="1" w:styleId="SangradetextonormalCar">
    <w:name w:val="Sangría de texto normal Car"/>
    <w:basedOn w:val="Fuentedeprrafopredeter"/>
    <w:link w:val="Sangradetextonormal"/>
    <w:rsid w:val="00D67CDD"/>
    <w:rPr>
      <w:rFonts w:ascii="Arial" w:eastAsia="Calibri" w:hAnsi="Arial" w:cs="Tahoma"/>
      <w:sz w:val="32"/>
      <w:szCs w:val="24"/>
      <w:lang w:val="es-CO"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
    <w:qFormat/>
    <w:rsid w:val="00D67CDD"/>
    <w:rPr>
      <w:vertAlign w:val="superscript"/>
    </w:rPr>
  </w:style>
  <w:style w:type="paragraph" w:styleId="Textonotapie">
    <w:name w:val="footnote text"/>
    <w:aliases w:val="Footnote Text Char Char Char Char Char,Footnote Text Char Char Char Char,Footnote reference,FA Fu,Footnote Text Char Char Char,FA Fu Car Car,FA Fu Car Car Car Car,FA Fu Car Car Car,FA Fu Car Car Car Car Car Car Car Car,Car,FA ,16 Point,R"/>
    <w:basedOn w:val="Normal"/>
    <w:link w:val="TextonotapieCar1"/>
    <w:rsid w:val="00D67CDD"/>
    <w:pPr>
      <w:spacing w:after="0" w:line="240" w:lineRule="auto"/>
    </w:pPr>
    <w:rPr>
      <w:rFonts w:ascii="Comic Sans MS" w:hAnsi="Comic Sans MS" w:cs="Comic Sans MS"/>
      <w:sz w:val="20"/>
      <w:szCs w:val="20"/>
      <w:lang w:val="es-ES_tradnl"/>
    </w:rPr>
  </w:style>
  <w:style w:type="character" w:customStyle="1" w:styleId="TextonotapieCar">
    <w:name w:val="Texto nota pie Car"/>
    <w:aliases w:val="Footnote Text Char Char Char Car1,Footnote Text Char Char Char Car Car Car Car,Footnote Text Char Char Char Car Car,ft C,FA Fu Car1,FA Fu Car Car Car Car Car Car Car Car Car,FA Fu Car Car Car Car Car Car,Texto nota pie Car Car Car Car"/>
    <w:basedOn w:val="Fuentedeprrafopredeter"/>
    <w:rsid w:val="00D67CDD"/>
    <w:rPr>
      <w:rFonts w:ascii="Calibri" w:eastAsia="Times New Roman" w:hAnsi="Calibri"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A Fu Car Car Car1,FA Fu Car Car Car Car Car,FA Fu Car Car Car Car1,Car Car,FA  Car"/>
    <w:link w:val="Textonotapie"/>
    <w:rsid w:val="00D67CDD"/>
    <w:rPr>
      <w:rFonts w:ascii="Comic Sans MS" w:eastAsia="Times New Roman" w:hAnsi="Comic Sans MS" w:cs="Comic Sans MS"/>
      <w:sz w:val="20"/>
      <w:szCs w:val="20"/>
      <w:lang w:val="es-ES_tradnl"/>
    </w:rPr>
  </w:style>
  <w:style w:type="paragraph" w:customStyle="1" w:styleId="Prrafodelista1">
    <w:name w:val="Párrafo de lista1"/>
    <w:basedOn w:val="Normal"/>
    <w:rsid w:val="00D67CDD"/>
    <w:pPr>
      <w:spacing w:after="0" w:line="360" w:lineRule="auto"/>
      <w:ind w:left="720"/>
      <w:contextualSpacing/>
      <w:jc w:val="both"/>
    </w:pPr>
    <w:rPr>
      <w:rFonts w:ascii="Arial" w:hAnsi="Arial"/>
      <w:spacing w:val="-4"/>
      <w:kern w:val="22"/>
      <w:sz w:val="28"/>
      <w:lang w:val="es-CO"/>
    </w:rPr>
  </w:style>
  <w:style w:type="paragraph" w:styleId="Textoindependiente">
    <w:name w:val="Body Text"/>
    <w:basedOn w:val="Normal"/>
    <w:link w:val="TextoindependienteCar"/>
    <w:uiPriority w:val="99"/>
    <w:unhideWhenUsed/>
    <w:rsid w:val="00D67CDD"/>
    <w:pPr>
      <w:spacing w:after="120"/>
    </w:pPr>
  </w:style>
  <w:style w:type="character" w:customStyle="1" w:styleId="TextoindependienteCar">
    <w:name w:val="Texto independiente Car"/>
    <w:basedOn w:val="Fuentedeprrafopredeter"/>
    <w:link w:val="Textoindependiente"/>
    <w:uiPriority w:val="99"/>
    <w:rsid w:val="00D67CDD"/>
    <w:rPr>
      <w:rFonts w:ascii="Calibri" w:eastAsia="Times New Roman" w:hAnsi="Calibri" w:cs="Times New Roman"/>
    </w:rPr>
  </w:style>
  <w:style w:type="paragraph" w:styleId="Textoindependienteprimerasangra">
    <w:name w:val="Body Text First Indent"/>
    <w:basedOn w:val="Textoindependiente"/>
    <w:link w:val="TextoindependienteprimerasangraCar"/>
    <w:uiPriority w:val="99"/>
    <w:unhideWhenUsed/>
    <w:rsid w:val="00D67CDD"/>
    <w:pPr>
      <w:ind w:firstLine="210"/>
    </w:pPr>
  </w:style>
  <w:style w:type="character" w:customStyle="1" w:styleId="TextoindependienteprimerasangraCar">
    <w:name w:val="Texto independiente primera sangría Car"/>
    <w:basedOn w:val="TextoindependienteCar"/>
    <w:link w:val="Textoindependienteprimerasangra"/>
    <w:uiPriority w:val="99"/>
    <w:rsid w:val="00D67CDD"/>
    <w:rPr>
      <w:rFonts w:ascii="Calibri" w:eastAsia="Times New Roman" w:hAnsi="Calibri" w:cs="Times New Roman"/>
    </w:rPr>
  </w:style>
  <w:style w:type="paragraph" w:styleId="NormalWeb">
    <w:name w:val="Normal (Web)"/>
    <w:basedOn w:val="Normal"/>
    <w:uiPriority w:val="99"/>
    <w:unhideWhenUsed/>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
    <w:name w:val="parrafo"/>
    <w:basedOn w:val="Normal"/>
    <w:rsid w:val="00D67CDD"/>
    <w:pPr>
      <w:spacing w:before="100" w:beforeAutospacing="1" w:after="100" w:afterAutospacing="1" w:line="240" w:lineRule="auto"/>
    </w:pPr>
    <w:rPr>
      <w:rFonts w:ascii="Times New Roman" w:hAnsi="Times New Roman"/>
      <w:sz w:val="24"/>
      <w:szCs w:val="24"/>
      <w:lang w:eastAsia="es-ES"/>
    </w:rPr>
  </w:style>
  <w:style w:type="paragraph" w:customStyle="1" w:styleId="parrafo2">
    <w:name w:val="parrafo_2"/>
    <w:basedOn w:val="Normal"/>
    <w:rsid w:val="00D67CDD"/>
    <w:pPr>
      <w:spacing w:before="100" w:beforeAutospacing="1" w:after="100" w:afterAutospacing="1" w:line="240" w:lineRule="auto"/>
    </w:pPr>
    <w:rPr>
      <w:rFonts w:ascii="Times New Roman" w:hAnsi="Times New Roman"/>
      <w:sz w:val="24"/>
      <w:szCs w:val="24"/>
      <w:lang w:eastAsia="es-ES"/>
    </w:rPr>
  </w:style>
  <w:style w:type="character" w:customStyle="1" w:styleId="CharacterStyle2">
    <w:name w:val="Character Style 2"/>
    <w:uiPriority w:val="99"/>
    <w:rsid w:val="00D67CDD"/>
    <w:rPr>
      <w:sz w:val="20"/>
    </w:rPr>
  </w:style>
  <w:style w:type="character" w:customStyle="1" w:styleId="CharacterStyle4">
    <w:name w:val="Character Style 4"/>
    <w:uiPriority w:val="99"/>
    <w:rsid w:val="00D67CDD"/>
    <w:rPr>
      <w:b/>
      <w:sz w:val="24"/>
    </w:rPr>
  </w:style>
  <w:style w:type="character" w:styleId="Hipervnculo">
    <w:name w:val="Hyperlink"/>
    <w:basedOn w:val="Fuentedeprrafopredeter"/>
    <w:unhideWhenUsed/>
    <w:rsid w:val="00D67CDD"/>
    <w:rPr>
      <w:color w:val="0000FF"/>
      <w:u w:val="single"/>
    </w:rPr>
  </w:style>
  <w:style w:type="table" w:styleId="Tablaconcuadrcula">
    <w:name w:val="Table Grid"/>
    <w:basedOn w:val="Tablanormal"/>
    <w:uiPriority w:val="59"/>
    <w:rsid w:val="00D6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0">
    <w:name w:val="Font Style70"/>
    <w:basedOn w:val="Fuentedeprrafopredeter"/>
    <w:uiPriority w:val="99"/>
    <w:rsid w:val="00D67CDD"/>
    <w:rPr>
      <w:rFonts w:ascii="Garamond" w:hAnsi="Garamond" w:cs="Garamond"/>
      <w:sz w:val="22"/>
      <w:szCs w:val="22"/>
    </w:rPr>
  </w:style>
  <w:style w:type="character" w:customStyle="1" w:styleId="FontStyle71">
    <w:name w:val="Font Style71"/>
    <w:basedOn w:val="Fuentedeprrafopredeter"/>
    <w:uiPriority w:val="99"/>
    <w:rsid w:val="00D67CDD"/>
    <w:rPr>
      <w:rFonts w:ascii="Garamond" w:hAnsi="Garamond" w:cs="Garamond"/>
      <w:b/>
      <w:bCs/>
      <w:sz w:val="22"/>
      <w:szCs w:val="22"/>
    </w:rPr>
  </w:style>
  <w:style w:type="paragraph" w:customStyle="1" w:styleId="Style29">
    <w:name w:val="Style29"/>
    <w:basedOn w:val="Normal"/>
    <w:uiPriority w:val="99"/>
    <w:rsid w:val="00D67CDD"/>
    <w:pPr>
      <w:widowControl w:val="0"/>
      <w:autoSpaceDE w:val="0"/>
      <w:autoSpaceDN w:val="0"/>
      <w:adjustRightInd w:val="0"/>
      <w:spacing w:after="0" w:line="304" w:lineRule="exact"/>
    </w:pPr>
    <w:rPr>
      <w:rFonts w:ascii="Garamond" w:eastAsiaTheme="minorEastAsia" w:hAnsi="Garamond" w:cstheme="minorBidi"/>
      <w:sz w:val="24"/>
      <w:szCs w:val="24"/>
      <w:lang w:eastAsia="es-ES"/>
    </w:rPr>
  </w:style>
  <w:style w:type="paragraph" w:customStyle="1" w:styleId="Style30">
    <w:name w:val="Style30"/>
    <w:basedOn w:val="Normal"/>
    <w:uiPriority w:val="99"/>
    <w:rsid w:val="00D67CDD"/>
    <w:pPr>
      <w:widowControl w:val="0"/>
      <w:autoSpaceDE w:val="0"/>
      <w:autoSpaceDN w:val="0"/>
      <w:adjustRightInd w:val="0"/>
      <w:spacing w:after="0" w:line="240" w:lineRule="auto"/>
      <w:jc w:val="both"/>
    </w:pPr>
    <w:rPr>
      <w:rFonts w:ascii="Garamond" w:eastAsiaTheme="minorEastAsia" w:hAnsi="Garamond" w:cstheme="minorBidi"/>
      <w:sz w:val="24"/>
      <w:szCs w:val="24"/>
      <w:lang w:eastAsia="es-ES"/>
    </w:rPr>
  </w:style>
  <w:style w:type="paragraph" w:customStyle="1" w:styleId="Style34">
    <w:name w:val="Style34"/>
    <w:basedOn w:val="Normal"/>
    <w:uiPriority w:val="99"/>
    <w:rsid w:val="00D67CDD"/>
    <w:pPr>
      <w:widowControl w:val="0"/>
      <w:autoSpaceDE w:val="0"/>
      <w:autoSpaceDN w:val="0"/>
      <w:adjustRightInd w:val="0"/>
      <w:spacing w:after="0" w:line="306" w:lineRule="exact"/>
      <w:ind w:firstLine="211"/>
    </w:pPr>
    <w:rPr>
      <w:rFonts w:ascii="Garamond" w:eastAsiaTheme="minorEastAsia" w:hAnsi="Garamond" w:cstheme="minorBidi"/>
      <w:sz w:val="24"/>
      <w:szCs w:val="24"/>
      <w:lang w:eastAsia="es-ES"/>
    </w:rPr>
  </w:style>
  <w:style w:type="paragraph" w:customStyle="1" w:styleId="Style5">
    <w:name w:val="Style5"/>
    <w:basedOn w:val="Normal"/>
    <w:uiPriority w:val="99"/>
    <w:rsid w:val="00D67CDD"/>
    <w:pPr>
      <w:widowControl w:val="0"/>
      <w:autoSpaceDE w:val="0"/>
      <w:autoSpaceDN w:val="0"/>
      <w:adjustRightInd w:val="0"/>
      <w:spacing w:after="0" w:line="286" w:lineRule="exact"/>
      <w:jc w:val="both"/>
    </w:pPr>
    <w:rPr>
      <w:rFonts w:ascii="Garamond" w:eastAsiaTheme="minorEastAsia" w:hAnsi="Garamond" w:cstheme="minorBidi"/>
      <w:sz w:val="24"/>
      <w:szCs w:val="24"/>
      <w:lang w:eastAsia="es-ES"/>
    </w:rPr>
  </w:style>
  <w:style w:type="paragraph" w:customStyle="1" w:styleId="Style6">
    <w:name w:val="Style6"/>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66">
    <w:name w:val="Font Style66"/>
    <w:basedOn w:val="Fuentedeprrafopredeter"/>
    <w:uiPriority w:val="99"/>
    <w:rsid w:val="00D67CDD"/>
    <w:rPr>
      <w:rFonts w:ascii="Calibri" w:hAnsi="Calibri" w:cs="Calibri"/>
      <w:sz w:val="20"/>
      <w:szCs w:val="20"/>
    </w:rPr>
  </w:style>
  <w:style w:type="character" w:customStyle="1" w:styleId="FontStyle67">
    <w:name w:val="Font Style67"/>
    <w:basedOn w:val="Fuentedeprrafopredeter"/>
    <w:uiPriority w:val="99"/>
    <w:rsid w:val="00D67CDD"/>
    <w:rPr>
      <w:rFonts w:ascii="Calibri" w:hAnsi="Calibri" w:cs="Calibri"/>
      <w:b/>
      <w:bCs/>
      <w:sz w:val="20"/>
      <w:szCs w:val="20"/>
    </w:rPr>
  </w:style>
  <w:style w:type="paragraph" w:customStyle="1" w:styleId="Style22">
    <w:name w:val="Style22"/>
    <w:basedOn w:val="Normal"/>
    <w:uiPriority w:val="99"/>
    <w:rsid w:val="00D67CDD"/>
    <w:pPr>
      <w:widowControl w:val="0"/>
      <w:autoSpaceDE w:val="0"/>
      <w:autoSpaceDN w:val="0"/>
      <w:adjustRightInd w:val="0"/>
      <w:spacing w:after="0" w:line="278" w:lineRule="exact"/>
      <w:jc w:val="both"/>
    </w:pPr>
    <w:rPr>
      <w:rFonts w:ascii="Garamond" w:eastAsiaTheme="minorEastAsia" w:hAnsi="Garamond" w:cstheme="minorBidi"/>
      <w:sz w:val="24"/>
      <w:szCs w:val="24"/>
      <w:lang w:eastAsia="es-ES"/>
    </w:rPr>
  </w:style>
  <w:style w:type="paragraph" w:customStyle="1" w:styleId="Style17">
    <w:name w:val="Style17"/>
    <w:basedOn w:val="Normal"/>
    <w:uiPriority w:val="99"/>
    <w:rsid w:val="00D67CDD"/>
    <w:pPr>
      <w:widowControl w:val="0"/>
      <w:autoSpaceDE w:val="0"/>
      <w:autoSpaceDN w:val="0"/>
      <w:adjustRightInd w:val="0"/>
      <w:spacing w:after="0" w:line="240" w:lineRule="auto"/>
    </w:pPr>
    <w:rPr>
      <w:rFonts w:ascii="Garamond" w:eastAsiaTheme="minorEastAsia" w:hAnsi="Garamond" w:cstheme="minorBidi"/>
      <w:sz w:val="24"/>
      <w:szCs w:val="24"/>
      <w:lang w:eastAsia="es-ES"/>
    </w:rPr>
  </w:style>
  <w:style w:type="character" w:customStyle="1" w:styleId="FontStyle89">
    <w:name w:val="Font Style89"/>
    <w:basedOn w:val="Fuentedeprrafopredeter"/>
    <w:uiPriority w:val="99"/>
    <w:rsid w:val="00D67CDD"/>
    <w:rPr>
      <w:rFonts w:ascii="SimSun" w:eastAsia="SimSun" w:cs="SimSun"/>
      <w:i/>
      <w:iCs/>
      <w:spacing w:val="-30"/>
      <w:sz w:val="28"/>
      <w:szCs w:val="28"/>
    </w:rPr>
  </w:style>
  <w:style w:type="paragraph" w:customStyle="1" w:styleId="Style23">
    <w:name w:val="Style23"/>
    <w:basedOn w:val="Normal"/>
    <w:uiPriority w:val="99"/>
    <w:rsid w:val="00D67CDD"/>
    <w:pPr>
      <w:widowControl w:val="0"/>
      <w:autoSpaceDE w:val="0"/>
      <w:autoSpaceDN w:val="0"/>
      <w:adjustRightInd w:val="0"/>
      <w:spacing w:after="0" w:line="288" w:lineRule="exact"/>
      <w:ind w:firstLine="341"/>
      <w:jc w:val="both"/>
    </w:pPr>
    <w:rPr>
      <w:rFonts w:ascii="Garamond" w:eastAsiaTheme="minorEastAsia" w:hAnsi="Garamond" w:cstheme="minorBidi"/>
      <w:sz w:val="24"/>
      <w:szCs w:val="24"/>
      <w:lang w:eastAsia="es-ES"/>
    </w:rPr>
  </w:style>
  <w:style w:type="character" w:customStyle="1" w:styleId="FontStyle90">
    <w:name w:val="Font Style90"/>
    <w:basedOn w:val="Fuentedeprrafopredeter"/>
    <w:uiPriority w:val="99"/>
    <w:rsid w:val="00D67CDD"/>
    <w:rPr>
      <w:rFonts w:ascii="Calibri" w:hAnsi="Calibri" w:cs="Calibri"/>
      <w:i/>
      <w:iCs/>
      <w:spacing w:val="20"/>
      <w:sz w:val="20"/>
      <w:szCs w:val="20"/>
    </w:rPr>
  </w:style>
  <w:style w:type="paragraph" w:customStyle="1" w:styleId="Style37">
    <w:name w:val="Style37"/>
    <w:basedOn w:val="Normal"/>
    <w:uiPriority w:val="99"/>
    <w:rsid w:val="00D67CDD"/>
    <w:pPr>
      <w:widowControl w:val="0"/>
      <w:autoSpaceDE w:val="0"/>
      <w:autoSpaceDN w:val="0"/>
      <w:adjustRightInd w:val="0"/>
      <w:spacing w:after="0" w:line="288" w:lineRule="exact"/>
      <w:ind w:hanging="360"/>
      <w:jc w:val="both"/>
    </w:pPr>
    <w:rPr>
      <w:rFonts w:ascii="Garamond" w:eastAsiaTheme="minorEastAsia" w:hAnsi="Garamond" w:cstheme="minorBidi"/>
      <w:sz w:val="24"/>
      <w:szCs w:val="24"/>
      <w:lang w:eastAsia="es-ES"/>
    </w:rPr>
  </w:style>
  <w:style w:type="character" w:customStyle="1" w:styleId="FontStyle74">
    <w:name w:val="Font Style74"/>
    <w:basedOn w:val="Fuentedeprrafopredeter"/>
    <w:uiPriority w:val="99"/>
    <w:rsid w:val="00D67CDD"/>
    <w:rPr>
      <w:rFonts w:ascii="Courier New" w:hAnsi="Courier New" w:cs="Courier New"/>
      <w:sz w:val="18"/>
      <w:szCs w:val="18"/>
    </w:rPr>
  </w:style>
  <w:style w:type="paragraph" w:customStyle="1" w:styleId="Style3">
    <w:name w:val="Style3"/>
    <w:basedOn w:val="Normal"/>
    <w:uiPriority w:val="99"/>
    <w:rsid w:val="008A10B5"/>
    <w:pPr>
      <w:widowControl w:val="0"/>
      <w:autoSpaceDE w:val="0"/>
      <w:autoSpaceDN w:val="0"/>
      <w:adjustRightInd w:val="0"/>
      <w:spacing w:after="0" w:line="392" w:lineRule="exact"/>
      <w:ind w:firstLine="725"/>
      <w:jc w:val="both"/>
    </w:pPr>
    <w:rPr>
      <w:rFonts w:ascii="Verdana" w:eastAsiaTheme="minorEastAsia" w:hAnsi="Verdana" w:cstheme="minorBidi"/>
      <w:sz w:val="24"/>
      <w:szCs w:val="24"/>
      <w:lang w:eastAsia="es-ES"/>
    </w:rPr>
  </w:style>
  <w:style w:type="character" w:customStyle="1" w:styleId="FontStyle18">
    <w:name w:val="Font Style18"/>
    <w:basedOn w:val="Fuentedeprrafopredeter"/>
    <w:uiPriority w:val="99"/>
    <w:rsid w:val="008A10B5"/>
    <w:rPr>
      <w:rFonts w:ascii="Verdana" w:hAnsi="Verdana" w:cs="Verdana"/>
      <w:sz w:val="18"/>
      <w:szCs w:val="18"/>
    </w:rPr>
  </w:style>
  <w:style w:type="paragraph" w:customStyle="1" w:styleId="Style7">
    <w:name w:val="Style7"/>
    <w:basedOn w:val="Normal"/>
    <w:uiPriority w:val="99"/>
    <w:rsid w:val="008A10B5"/>
    <w:pPr>
      <w:widowControl w:val="0"/>
      <w:autoSpaceDE w:val="0"/>
      <w:autoSpaceDN w:val="0"/>
      <w:adjustRightInd w:val="0"/>
      <w:spacing w:after="0" w:line="391" w:lineRule="exact"/>
      <w:jc w:val="both"/>
    </w:pPr>
    <w:rPr>
      <w:rFonts w:ascii="Verdana" w:eastAsiaTheme="minorEastAsia" w:hAnsi="Verdana" w:cstheme="minorBidi"/>
      <w:sz w:val="24"/>
      <w:szCs w:val="24"/>
      <w:lang w:eastAsia="es-ES"/>
    </w:rPr>
  </w:style>
  <w:style w:type="paragraph" w:styleId="Textodeglobo">
    <w:name w:val="Balloon Text"/>
    <w:basedOn w:val="Normal"/>
    <w:link w:val="TextodegloboCar"/>
    <w:uiPriority w:val="99"/>
    <w:semiHidden/>
    <w:unhideWhenUsed/>
    <w:rsid w:val="008B43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3C6"/>
    <w:rPr>
      <w:rFonts w:ascii="Segoe UI" w:eastAsia="Times New Roman" w:hAnsi="Segoe UI" w:cs="Segoe UI"/>
      <w:sz w:val="18"/>
      <w:szCs w:val="18"/>
    </w:rPr>
  </w:style>
  <w:style w:type="paragraph" w:styleId="Prrafodelista">
    <w:name w:val="List Paragraph"/>
    <w:basedOn w:val="Normal"/>
    <w:uiPriority w:val="34"/>
    <w:qFormat/>
    <w:rsid w:val="00906220"/>
    <w:pPr>
      <w:spacing w:after="0" w:line="240" w:lineRule="auto"/>
      <w:ind w:left="720"/>
      <w:contextualSpacing/>
    </w:pPr>
    <w:rPr>
      <w:rFonts w:ascii="Arial" w:hAnsi="Arial"/>
      <w:sz w:val="28"/>
      <w:szCs w:val="28"/>
      <w:lang w:eastAsia="es-ES"/>
    </w:rPr>
  </w:style>
  <w:style w:type="paragraph" w:customStyle="1" w:styleId="Texto">
    <w:name w:val="Texto"/>
    <w:basedOn w:val="Normal"/>
    <w:uiPriority w:val="99"/>
    <w:rsid w:val="0038541A"/>
    <w:pPr>
      <w:widowControl w:val="0"/>
      <w:autoSpaceDE w:val="0"/>
      <w:autoSpaceDN w:val="0"/>
      <w:adjustRightInd w:val="0"/>
      <w:spacing w:after="170" w:line="300" w:lineRule="atLeast"/>
      <w:ind w:left="567"/>
      <w:jc w:val="both"/>
      <w:textAlignment w:val="center"/>
    </w:pPr>
    <w:rPr>
      <w:rFonts w:ascii="Corbel" w:hAnsi="Corbel" w:cs="Corbel"/>
      <w:color w:val="000000"/>
      <w:lang w:val="es-ES_tradnl" w:eastAsia="es-ES"/>
    </w:rPr>
  </w:style>
  <w:style w:type="paragraph" w:styleId="Sangra2detindependiente">
    <w:name w:val="Body Text Indent 2"/>
    <w:basedOn w:val="Normal"/>
    <w:link w:val="Sangra2detindependienteCar"/>
    <w:unhideWhenUsed/>
    <w:rsid w:val="00634FB4"/>
    <w:pPr>
      <w:spacing w:after="120" w:line="480" w:lineRule="auto"/>
      <w:ind w:left="283"/>
    </w:pPr>
  </w:style>
  <w:style w:type="character" w:customStyle="1" w:styleId="Sangra2detindependienteCar">
    <w:name w:val="Sangría 2 de t. independiente Car"/>
    <w:basedOn w:val="Fuentedeprrafopredeter"/>
    <w:link w:val="Sangra2detindependiente"/>
    <w:rsid w:val="00634FB4"/>
    <w:rPr>
      <w:rFonts w:ascii="Calibri" w:eastAsia="Times New Roman" w:hAnsi="Calibri" w:cs="Times New Roman"/>
    </w:rPr>
  </w:style>
  <w:style w:type="paragraph" w:styleId="Textoindependiente3">
    <w:name w:val="Body Text 3"/>
    <w:basedOn w:val="Normal"/>
    <w:link w:val="Textoindependiente3Car"/>
    <w:uiPriority w:val="99"/>
    <w:semiHidden/>
    <w:unhideWhenUsed/>
    <w:rsid w:val="00634FB4"/>
    <w:pPr>
      <w:spacing w:after="120"/>
    </w:pPr>
    <w:rPr>
      <w:rFonts w:asciiTheme="minorHAnsi" w:eastAsiaTheme="minorEastAsia" w:hAnsiTheme="minorHAnsi" w:cstheme="minorBidi"/>
      <w:sz w:val="16"/>
      <w:szCs w:val="16"/>
      <w:lang w:val="es-CO"/>
    </w:rPr>
  </w:style>
  <w:style w:type="character" w:customStyle="1" w:styleId="Textoindependiente3Car">
    <w:name w:val="Texto independiente 3 Car"/>
    <w:basedOn w:val="Fuentedeprrafopredeter"/>
    <w:link w:val="Textoindependiente3"/>
    <w:uiPriority w:val="99"/>
    <w:semiHidden/>
    <w:rsid w:val="00634FB4"/>
    <w:rPr>
      <w:rFonts w:eastAsiaTheme="minorEastAsia"/>
      <w:sz w:val="16"/>
      <w:szCs w:val="16"/>
      <w:lang w:val="es-CO"/>
    </w:rPr>
  </w:style>
  <w:style w:type="paragraph" w:styleId="Textoindependiente2">
    <w:name w:val="Body Text 2"/>
    <w:basedOn w:val="Normal"/>
    <w:link w:val="Textoindependiente2Car"/>
    <w:uiPriority w:val="99"/>
    <w:unhideWhenUsed/>
    <w:rsid w:val="00634FB4"/>
    <w:pPr>
      <w:spacing w:after="120" w:line="480" w:lineRule="auto"/>
    </w:pPr>
    <w:rPr>
      <w:rFonts w:asciiTheme="minorHAnsi" w:eastAsiaTheme="minorEastAsia" w:hAnsiTheme="minorHAnsi" w:cstheme="minorBidi"/>
      <w:lang w:val="es-CO"/>
    </w:rPr>
  </w:style>
  <w:style w:type="character" w:customStyle="1" w:styleId="Textoindependiente2Car">
    <w:name w:val="Texto independiente 2 Car"/>
    <w:basedOn w:val="Fuentedeprrafopredeter"/>
    <w:link w:val="Textoindependiente2"/>
    <w:uiPriority w:val="99"/>
    <w:rsid w:val="00634FB4"/>
    <w:rPr>
      <w:rFonts w:eastAsiaTheme="minorEastAsia"/>
      <w:lang w:val="es-CO"/>
    </w:rPr>
  </w:style>
  <w:style w:type="paragraph" w:customStyle="1" w:styleId="Textodenotaalfinal">
    <w:name w:val="Texto de nota al final"/>
    <w:basedOn w:val="Normal"/>
    <w:rsid w:val="00634FB4"/>
    <w:pPr>
      <w:widowControl w:val="0"/>
      <w:spacing w:after="0" w:line="240" w:lineRule="auto"/>
    </w:pPr>
    <w:rPr>
      <w:rFonts w:ascii="Courier New" w:hAnsi="Courier New"/>
      <w:sz w:val="24"/>
      <w:szCs w:val="20"/>
      <w:lang w:val="es-ES_tradnl" w:eastAsia="es-ES"/>
    </w:rPr>
  </w:style>
  <w:style w:type="paragraph" w:styleId="Sinespaciado">
    <w:name w:val="No Spacing"/>
    <w:uiPriority w:val="1"/>
    <w:qFormat/>
    <w:rsid w:val="00634FB4"/>
    <w:pPr>
      <w:spacing w:after="0" w:line="240" w:lineRule="auto"/>
    </w:pPr>
    <w:rPr>
      <w:rFonts w:eastAsiaTheme="minorEastAsia"/>
      <w:lang w:val="es-CO"/>
    </w:rPr>
  </w:style>
  <w:style w:type="paragraph" w:customStyle="1" w:styleId="Cuerpo">
    <w:name w:val="Cuerpo"/>
    <w:rsid w:val="00495238"/>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415353">
      <w:bodyDiv w:val="1"/>
      <w:marLeft w:val="0"/>
      <w:marRight w:val="0"/>
      <w:marTop w:val="0"/>
      <w:marBottom w:val="0"/>
      <w:divBdr>
        <w:top w:val="none" w:sz="0" w:space="0" w:color="auto"/>
        <w:left w:val="none" w:sz="0" w:space="0" w:color="auto"/>
        <w:bottom w:val="none" w:sz="0" w:space="0" w:color="auto"/>
        <w:right w:val="none" w:sz="0" w:space="0" w:color="auto"/>
      </w:divBdr>
    </w:div>
    <w:div w:id="191484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E\Downloads\PlantillaMarcaAgua210120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0D3CA8A8F104B46A609B35E2806C01D" ma:contentTypeVersion="0" ma:contentTypeDescription="Crear nuevo documento." ma:contentTypeScope="" ma:versionID="29726d1d8d88e3e6df360d6197870f87">
  <xsd:schema xmlns:xsd="http://www.w3.org/2001/XMLSchema" xmlns:xs="http://www.w3.org/2001/XMLSchema" xmlns:p="http://schemas.microsoft.com/office/2006/metadata/properties" targetNamespace="http://schemas.microsoft.com/office/2006/metadata/properties" ma:root="true" ma:fieldsID="986dcc55fc7de7b749655be5365d3e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5F35D-0DAD-4AD5-A011-B0871F9F5F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8C471A-D548-4F26-89E1-C8A0CFA93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9EBDDD-9608-431C-828D-F8EECD26D484}">
  <ds:schemaRefs>
    <ds:schemaRef ds:uri="http://schemas.openxmlformats.org/officeDocument/2006/bibliography"/>
  </ds:schemaRefs>
</ds:datastoreItem>
</file>

<file path=customXml/itemProps4.xml><?xml version="1.0" encoding="utf-8"?>
<ds:datastoreItem xmlns:ds="http://schemas.openxmlformats.org/officeDocument/2006/customXml" ds:itemID="{CB29A0B1-7519-405A-A79C-D56B33A1A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PlantillaMarcaAgua21012020</Template>
  <TotalTime>7</TotalTime>
  <Pages>20</Pages>
  <Words>3902</Words>
  <Characters>21463</Characters>
  <Application>Microsoft Office Word</Application>
  <DocSecurity>8</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dc:creator>
  <cp:keywords/>
  <dc:description/>
  <cp:lastModifiedBy>Gustavo Adolfo Ruiz Vesga</cp:lastModifiedBy>
  <cp:revision>5</cp:revision>
  <cp:lastPrinted>2026-08-06T23:33:00Z</cp:lastPrinted>
  <dcterms:created xsi:type="dcterms:W3CDTF">2026-07-23T16:16:00Z</dcterms:created>
  <dcterms:modified xsi:type="dcterms:W3CDTF">2026-08-06T23:33:00Z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0x01010050D3CA8A8F104B46A609B35E2806C01D</vt:lpwstr>
  </property>
</Properties>
</file>