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093" w:rsidRPr="00FD6C10" w:rsidRDefault="004C7093" w:rsidP="004C7093">
      <w:pPr>
        <w:jc w:val="center"/>
        <w:rPr>
          <w:rFonts w:ascii="Bookman Old Style" w:hAnsi="Bookman Old Style"/>
          <w:sz w:val="28"/>
          <w:szCs w:val="28"/>
        </w:rPr>
      </w:pPr>
      <w:r w:rsidRPr="00FD6C10">
        <w:rPr>
          <w:rFonts w:ascii="Bookman Old Style" w:hAnsi="Bookman Old Style"/>
          <w:sz w:val="28"/>
          <w:szCs w:val="28"/>
        </w:rPr>
        <w:t>CORTE SUPREMA DE JUSTICIA</w:t>
      </w:r>
    </w:p>
    <w:p w:rsidR="004C7093" w:rsidRPr="00FD6C10" w:rsidRDefault="004C7093" w:rsidP="004C7093">
      <w:pPr>
        <w:jc w:val="center"/>
        <w:rPr>
          <w:rFonts w:ascii="Bookman Old Style" w:hAnsi="Bookman Old Style"/>
          <w:sz w:val="28"/>
          <w:szCs w:val="28"/>
        </w:rPr>
      </w:pPr>
      <w:r w:rsidRPr="00FD6C10">
        <w:rPr>
          <w:rFonts w:ascii="Bookman Old Style" w:hAnsi="Bookman Old Style"/>
          <w:sz w:val="28"/>
          <w:szCs w:val="28"/>
        </w:rPr>
        <w:t>SALA DE CASACIÓN PENAL</w:t>
      </w:r>
    </w:p>
    <w:p w:rsidR="004C7093" w:rsidRDefault="004C7093" w:rsidP="004C7093">
      <w:pPr>
        <w:spacing w:line="360" w:lineRule="auto"/>
        <w:jc w:val="center"/>
        <w:rPr>
          <w:rFonts w:ascii="Bookman Old Style" w:hAnsi="Bookman Old Style" w:cs="Arial"/>
          <w:b/>
          <w:sz w:val="28"/>
          <w:szCs w:val="28"/>
        </w:rPr>
      </w:pPr>
    </w:p>
    <w:p w:rsidR="004C7093" w:rsidRDefault="004C7093" w:rsidP="001F3A81">
      <w:pPr>
        <w:pStyle w:val="Sinespaciado"/>
      </w:pPr>
    </w:p>
    <w:p w:rsidR="004C7093" w:rsidRPr="005C5738" w:rsidRDefault="004C7093" w:rsidP="001F3A81">
      <w:pPr>
        <w:pStyle w:val="Sinespaciado"/>
      </w:pPr>
    </w:p>
    <w:p w:rsidR="004C7093" w:rsidRPr="007B2C68" w:rsidRDefault="004C7093" w:rsidP="004C7093">
      <w:pPr>
        <w:spacing w:line="360" w:lineRule="auto"/>
        <w:ind w:firstLine="709"/>
        <w:jc w:val="center"/>
        <w:rPr>
          <w:rFonts w:ascii="Bookman Old Style" w:hAnsi="Bookman Old Style" w:cs="Arial"/>
          <w:b/>
          <w:sz w:val="28"/>
          <w:szCs w:val="28"/>
          <w:lang w:val="es-CO"/>
        </w:rPr>
      </w:pPr>
      <w:r w:rsidRPr="007B2C68">
        <w:rPr>
          <w:rFonts w:ascii="Bookman Old Style" w:hAnsi="Bookman Old Style" w:cs="Arial"/>
          <w:b/>
          <w:sz w:val="28"/>
          <w:szCs w:val="28"/>
        </w:rPr>
        <w:t>LUIS GUILLERMO SALAZAR OTERO</w:t>
      </w:r>
    </w:p>
    <w:p w:rsidR="004C7093" w:rsidRPr="005C5738" w:rsidRDefault="004C7093" w:rsidP="004C7093">
      <w:pPr>
        <w:spacing w:line="360" w:lineRule="auto"/>
        <w:jc w:val="center"/>
        <w:rPr>
          <w:rFonts w:ascii="Bookman Old Style" w:hAnsi="Bookman Old Style" w:cs="Arial"/>
          <w:b/>
          <w:sz w:val="28"/>
          <w:szCs w:val="28"/>
        </w:rPr>
      </w:pPr>
      <w:r>
        <w:rPr>
          <w:rFonts w:ascii="Bookman Old Style" w:hAnsi="Bookman Old Style" w:cs="Arial"/>
          <w:b/>
          <w:sz w:val="28"/>
          <w:szCs w:val="28"/>
        </w:rPr>
        <w:t>Magistrado</w:t>
      </w:r>
      <w:r w:rsidRPr="005C5738">
        <w:rPr>
          <w:rFonts w:ascii="Bookman Old Style" w:hAnsi="Bookman Old Style" w:cs="Arial"/>
          <w:b/>
          <w:sz w:val="28"/>
          <w:szCs w:val="28"/>
        </w:rPr>
        <w:t xml:space="preserve"> </w:t>
      </w:r>
      <w:r>
        <w:rPr>
          <w:rFonts w:ascii="Bookman Old Style" w:hAnsi="Bookman Old Style" w:cs="Arial"/>
          <w:b/>
          <w:sz w:val="28"/>
          <w:szCs w:val="28"/>
        </w:rPr>
        <w:t>P</w:t>
      </w:r>
      <w:r w:rsidRPr="005C5738">
        <w:rPr>
          <w:rFonts w:ascii="Bookman Old Style" w:hAnsi="Bookman Old Style" w:cs="Arial"/>
          <w:b/>
          <w:sz w:val="28"/>
          <w:szCs w:val="28"/>
        </w:rPr>
        <w:t>onente</w:t>
      </w:r>
    </w:p>
    <w:p w:rsidR="004C7093" w:rsidRDefault="004C7093" w:rsidP="004C7093">
      <w:pPr>
        <w:spacing w:line="360" w:lineRule="auto"/>
        <w:jc w:val="center"/>
        <w:rPr>
          <w:rFonts w:ascii="Bookman Old Style" w:hAnsi="Bookman Old Style" w:cs="Arial"/>
          <w:b/>
          <w:sz w:val="28"/>
          <w:szCs w:val="28"/>
        </w:rPr>
      </w:pPr>
    </w:p>
    <w:p w:rsidR="004C7093" w:rsidRDefault="004C7093" w:rsidP="004C7093">
      <w:pPr>
        <w:spacing w:line="360" w:lineRule="auto"/>
        <w:jc w:val="center"/>
        <w:rPr>
          <w:rFonts w:ascii="Bookman Old Style" w:hAnsi="Bookman Old Style" w:cs="Arial"/>
          <w:b/>
          <w:sz w:val="28"/>
          <w:szCs w:val="28"/>
        </w:rPr>
      </w:pPr>
    </w:p>
    <w:p w:rsidR="004C7093" w:rsidRPr="000E247D" w:rsidRDefault="0079599E" w:rsidP="004C7093">
      <w:pPr>
        <w:spacing w:line="360" w:lineRule="auto"/>
        <w:jc w:val="center"/>
        <w:rPr>
          <w:rFonts w:ascii="Bookman Old Style" w:hAnsi="Bookman Old Style" w:cs="Arial"/>
          <w:b/>
          <w:sz w:val="28"/>
          <w:szCs w:val="28"/>
        </w:rPr>
      </w:pPr>
      <w:r w:rsidRPr="0079599E">
        <w:rPr>
          <w:rFonts w:ascii="Bookman Old Style" w:hAnsi="Bookman Old Style" w:cs="Arial"/>
          <w:b/>
          <w:sz w:val="28"/>
          <w:szCs w:val="28"/>
        </w:rPr>
        <w:t>SP8283-2016</w:t>
      </w:r>
      <w:bookmarkStart w:id="0" w:name="_GoBack"/>
      <w:bookmarkEnd w:id="0"/>
    </w:p>
    <w:p w:rsidR="004C7093" w:rsidRPr="000E247D" w:rsidRDefault="004C7093" w:rsidP="004C7093">
      <w:pPr>
        <w:spacing w:line="360" w:lineRule="auto"/>
        <w:jc w:val="center"/>
        <w:rPr>
          <w:rFonts w:ascii="Bookman Old Style" w:hAnsi="Bookman Old Style" w:cs="Arial"/>
          <w:b/>
          <w:sz w:val="28"/>
          <w:szCs w:val="28"/>
        </w:rPr>
      </w:pPr>
      <w:r w:rsidRPr="000E247D">
        <w:rPr>
          <w:rFonts w:ascii="Bookman Old Style" w:hAnsi="Bookman Old Style" w:cs="Arial"/>
          <w:b/>
          <w:sz w:val="28"/>
          <w:szCs w:val="28"/>
        </w:rPr>
        <w:t>Radicación n° 46000</w:t>
      </w:r>
    </w:p>
    <w:p w:rsidR="004C7093" w:rsidRDefault="004C7093" w:rsidP="004C7093">
      <w:pPr>
        <w:spacing w:line="360" w:lineRule="auto"/>
        <w:jc w:val="center"/>
        <w:rPr>
          <w:rFonts w:ascii="Bookman Old Style" w:hAnsi="Bookman Old Style"/>
          <w:sz w:val="26"/>
          <w:szCs w:val="26"/>
        </w:rPr>
      </w:pPr>
      <w:r w:rsidRPr="005C5738">
        <w:rPr>
          <w:rFonts w:ascii="Bookman Old Style" w:hAnsi="Bookman Old Style"/>
          <w:sz w:val="26"/>
          <w:szCs w:val="26"/>
        </w:rPr>
        <w:t>(</w:t>
      </w:r>
      <w:r w:rsidRPr="00786D08">
        <w:rPr>
          <w:rFonts w:ascii="Bookman Old Style" w:hAnsi="Bookman Old Style" w:cs="Arial"/>
          <w:sz w:val="28"/>
          <w:szCs w:val="28"/>
        </w:rPr>
        <w:t>Aprobado Acta No.</w:t>
      </w:r>
      <w:r w:rsidR="000E247D">
        <w:rPr>
          <w:rFonts w:ascii="Bookman Old Style" w:hAnsi="Bookman Old Style" w:cs="Arial"/>
          <w:sz w:val="28"/>
          <w:szCs w:val="28"/>
        </w:rPr>
        <w:t>189</w:t>
      </w:r>
      <w:r w:rsidRPr="00786D08">
        <w:rPr>
          <w:rFonts w:ascii="Bookman Old Style" w:hAnsi="Bookman Old Style"/>
          <w:sz w:val="28"/>
          <w:szCs w:val="28"/>
        </w:rPr>
        <w:t>)</w:t>
      </w:r>
    </w:p>
    <w:p w:rsidR="004C7093" w:rsidRDefault="004C7093" w:rsidP="004C7093">
      <w:pPr>
        <w:spacing w:line="360" w:lineRule="auto"/>
        <w:jc w:val="center"/>
        <w:rPr>
          <w:rFonts w:ascii="Bookman Old Style" w:hAnsi="Bookman Old Style" w:cs="Arial"/>
          <w:b/>
          <w:sz w:val="26"/>
          <w:szCs w:val="26"/>
        </w:rPr>
      </w:pPr>
    </w:p>
    <w:p w:rsidR="004C7093" w:rsidRDefault="004C7093" w:rsidP="001F3A81">
      <w:pPr>
        <w:pStyle w:val="Sinespaciado"/>
      </w:pPr>
    </w:p>
    <w:p w:rsidR="004C7093" w:rsidRDefault="004C7093" w:rsidP="004C7093">
      <w:pPr>
        <w:spacing w:line="360" w:lineRule="auto"/>
        <w:ind w:firstLine="709"/>
        <w:jc w:val="both"/>
        <w:rPr>
          <w:rFonts w:ascii="Bookman Old Style" w:hAnsi="Bookman Old Style"/>
          <w:sz w:val="28"/>
          <w:szCs w:val="28"/>
        </w:rPr>
      </w:pPr>
      <w:r w:rsidRPr="00474950">
        <w:rPr>
          <w:rFonts w:ascii="Bookman Old Style" w:hAnsi="Bookman Old Style"/>
          <w:sz w:val="28"/>
          <w:szCs w:val="28"/>
        </w:rPr>
        <w:t>Bogotá D.C.,</w:t>
      </w:r>
      <w:r>
        <w:rPr>
          <w:rFonts w:ascii="Bookman Old Style" w:hAnsi="Bookman Old Style"/>
          <w:sz w:val="28"/>
          <w:szCs w:val="28"/>
        </w:rPr>
        <w:t xml:space="preserve"> </w:t>
      </w:r>
      <w:r w:rsidR="000E247D">
        <w:rPr>
          <w:rFonts w:ascii="Bookman Old Style" w:hAnsi="Bookman Old Style"/>
          <w:sz w:val="28"/>
          <w:szCs w:val="28"/>
        </w:rPr>
        <w:t xml:space="preserve">veintidós </w:t>
      </w:r>
      <w:r w:rsidR="008609F7">
        <w:rPr>
          <w:rFonts w:ascii="Bookman Old Style" w:hAnsi="Bookman Old Style"/>
          <w:sz w:val="28"/>
          <w:szCs w:val="28"/>
        </w:rPr>
        <w:t>(</w:t>
      </w:r>
      <w:r w:rsidR="000E247D">
        <w:rPr>
          <w:rFonts w:ascii="Bookman Old Style" w:hAnsi="Bookman Old Style"/>
          <w:sz w:val="28"/>
          <w:szCs w:val="28"/>
        </w:rPr>
        <w:t>22</w:t>
      </w:r>
      <w:r w:rsidR="008609F7">
        <w:rPr>
          <w:rFonts w:ascii="Bookman Old Style" w:hAnsi="Bookman Old Style"/>
          <w:sz w:val="28"/>
          <w:szCs w:val="28"/>
        </w:rPr>
        <w:t>) de junio de dos mil dieciséis (2016).</w:t>
      </w:r>
    </w:p>
    <w:p w:rsidR="004C7093" w:rsidRDefault="004C7093" w:rsidP="004C7093">
      <w:pPr>
        <w:spacing w:line="360" w:lineRule="auto"/>
        <w:ind w:firstLine="709"/>
        <w:jc w:val="center"/>
        <w:rPr>
          <w:rFonts w:ascii="Bookman Old Style" w:hAnsi="Bookman Old Style" w:cs="Arial"/>
          <w:b/>
          <w:sz w:val="28"/>
          <w:szCs w:val="28"/>
          <w:lang w:val="es-ES_tradnl"/>
        </w:rPr>
      </w:pPr>
    </w:p>
    <w:p w:rsidR="004C7093" w:rsidRPr="00A622DB" w:rsidRDefault="004C7093" w:rsidP="004C7093">
      <w:pPr>
        <w:spacing w:line="360" w:lineRule="auto"/>
        <w:ind w:firstLine="709"/>
        <w:jc w:val="center"/>
        <w:rPr>
          <w:rFonts w:ascii="Bookman Old Style" w:hAnsi="Bookman Old Style" w:cs="Arial"/>
          <w:sz w:val="28"/>
          <w:szCs w:val="28"/>
          <w:lang w:val="es-ES_tradnl"/>
        </w:rPr>
      </w:pPr>
      <w:r w:rsidRPr="00A622DB">
        <w:rPr>
          <w:rFonts w:ascii="Bookman Old Style" w:hAnsi="Bookman Old Style" w:cs="Arial"/>
          <w:sz w:val="28"/>
          <w:szCs w:val="28"/>
          <w:lang w:val="es-ES_tradnl"/>
        </w:rPr>
        <w:t>ASUNTO</w:t>
      </w:r>
    </w:p>
    <w:p w:rsidR="004C7093" w:rsidRDefault="004C7093" w:rsidP="004C7093">
      <w:pPr>
        <w:spacing w:line="360" w:lineRule="auto"/>
        <w:ind w:firstLine="709"/>
        <w:jc w:val="center"/>
        <w:rPr>
          <w:rFonts w:ascii="Bookman Old Style" w:hAnsi="Bookman Old Style" w:cs="Arial"/>
          <w:b/>
          <w:sz w:val="28"/>
          <w:szCs w:val="28"/>
          <w:lang w:val="es-ES_tradnl"/>
        </w:rPr>
      </w:pPr>
    </w:p>
    <w:p w:rsidR="004C7093" w:rsidRPr="00F172E7" w:rsidRDefault="004C7093" w:rsidP="004C7093">
      <w:pPr>
        <w:spacing w:line="360" w:lineRule="auto"/>
        <w:ind w:firstLine="709"/>
        <w:jc w:val="both"/>
        <w:rPr>
          <w:rFonts w:ascii="Bookman Old Style" w:hAnsi="Bookman Old Style"/>
          <w:sz w:val="28"/>
          <w:szCs w:val="28"/>
        </w:rPr>
      </w:pPr>
      <w:r w:rsidRPr="004D6B07">
        <w:rPr>
          <w:rFonts w:ascii="Bookman Old Style" w:hAnsi="Bookman Old Style" w:cs="Arial"/>
          <w:spacing w:val="-3"/>
          <w:sz w:val="28"/>
          <w:szCs w:val="28"/>
        </w:rPr>
        <w:t xml:space="preserve">Resuelve la Sala el recurso de casación interpuesto por el </w:t>
      </w:r>
      <w:r>
        <w:rPr>
          <w:rFonts w:ascii="Bookman Old Style" w:hAnsi="Bookman Old Style" w:cs="Arial"/>
          <w:spacing w:val="-3"/>
          <w:sz w:val="28"/>
          <w:szCs w:val="28"/>
        </w:rPr>
        <w:t xml:space="preserve">apoderado de MARITZA RIVEROS TIRIA, </w:t>
      </w:r>
      <w:r w:rsidRPr="004D6B07">
        <w:rPr>
          <w:rFonts w:ascii="Bookman Old Style" w:hAnsi="Bookman Old Style" w:cs="Arial"/>
          <w:spacing w:val="-3"/>
          <w:sz w:val="28"/>
          <w:szCs w:val="28"/>
        </w:rPr>
        <w:t>con</w:t>
      </w:r>
      <w:r w:rsidRPr="004D6B07">
        <w:rPr>
          <w:rFonts w:ascii="Bookman Old Style" w:hAnsi="Bookman Old Style"/>
          <w:sz w:val="28"/>
          <w:szCs w:val="28"/>
        </w:rPr>
        <w:t xml:space="preserve">tra el fallo del </w:t>
      </w:r>
      <w:r>
        <w:rPr>
          <w:rFonts w:ascii="Bookman Old Style" w:hAnsi="Bookman Old Style"/>
          <w:sz w:val="28"/>
          <w:szCs w:val="28"/>
        </w:rPr>
        <w:t>12</w:t>
      </w:r>
      <w:r w:rsidRPr="004D6B07">
        <w:rPr>
          <w:rFonts w:ascii="Bookman Old Style" w:hAnsi="Bookman Old Style"/>
          <w:sz w:val="28"/>
          <w:szCs w:val="28"/>
        </w:rPr>
        <w:t xml:space="preserve"> de </w:t>
      </w:r>
      <w:r>
        <w:rPr>
          <w:rFonts w:ascii="Bookman Old Style" w:hAnsi="Bookman Old Style"/>
          <w:sz w:val="28"/>
          <w:szCs w:val="28"/>
        </w:rPr>
        <w:t>diciembre</w:t>
      </w:r>
      <w:r w:rsidRPr="004D6B07">
        <w:rPr>
          <w:rFonts w:ascii="Bookman Old Style" w:hAnsi="Bookman Old Style"/>
          <w:sz w:val="28"/>
          <w:szCs w:val="28"/>
        </w:rPr>
        <w:t xml:space="preserve"> de 20</w:t>
      </w:r>
      <w:r>
        <w:rPr>
          <w:rFonts w:ascii="Bookman Old Style" w:hAnsi="Bookman Old Style"/>
          <w:sz w:val="28"/>
          <w:szCs w:val="28"/>
        </w:rPr>
        <w:t>14</w:t>
      </w:r>
      <w:r w:rsidRPr="004D6B07">
        <w:rPr>
          <w:rFonts w:ascii="Bookman Old Style" w:hAnsi="Bookman Old Style"/>
          <w:sz w:val="28"/>
          <w:szCs w:val="28"/>
        </w:rPr>
        <w:t xml:space="preserve"> proferido por el Tribunal Superior de </w:t>
      </w:r>
      <w:r>
        <w:rPr>
          <w:rFonts w:ascii="Bookman Old Style" w:hAnsi="Bookman Old Style"/>
          <w:sz w:val="28"/>
          <w:szCs w:val="28"/>
        </w:rPr>
        <w:t>Santa Rosa de Viterbo</w:t>
      </w:r>
      <w:r w:rsidRPr="004D6B07">
        <w:rPr>
          <w:rFonts w:ascii="Bookman Old Style" w:hAnsi="Bookman Old Style"/>
          <w:sz w:val="28"/>
          <w:szCs w:val="28"/>
        </w:rPr>
        <w:t xml:space="preserve">, mediante el cual </w:t>
      </w:r>
      <w:r>
        <w:rPr>
          <w:rFonts w:ascii="Bookman Old Style" w:hAnsi="Bookman Old Style"/>
          <w:sz w:val="28"/>
          <w:szCs w:val="28"/>
        </w:rPr>
        <w:t>revoc</w:t>
      </w:r>
      <w:r w:rsidR="00510B25">
        <w:rPr>
          <w:rFonts w:ascii="Bookman Old Style" w:hAnsi="Bookman Old Style"/>
          <w:sz w:val="28"/>
          <w:szCs w:val="28"/>
        </w:rPr>
        <w:t>a</w:t>
      </w:r>
      <w:r>
        <w:rPr>
          <w:rFonts w:ascii="Bookman Old Style" w:hAnsi="Bookman Old Style"/>
          <w:sz w:val="28"/>
          <w:szCs w:val="28"/>
        </w:rPr>
        <w:t xml:space="preserve"> parcialmente </w:t>
      </w:r>
      <w:r w:rsidRPr="004D6B07">
        <w:rPr>
          <w:rFonts w:ascii="Bookman Old Style" w:hAnsi="Bookman Old Style"/>
          <w:sz w:val="28"/>
          <w:szCs w:val="28"/>
        </w:rPr>
        <w:t>l</w:t>
      </w:r>
      <w:r>
        <w:rPr>
          <w:rFonts w:ascii="Bookman Old Style" w:hAnsi="Bookman Old Style"/>
          <w:sz w:val="28"/>
          <w:szCs w:val="28"/>
        </w:rPr>
        <w:t>a</w:t>
      </w:r>
      <w:r w:rsidRPr="004D6B07">
        <w:rPr>
          <w:rFonts w:ascii="Bookman Old Style" w:hAnsi="Bookman Old Style"/>
          <w:sz w:val="28"/>
          <w:szCs w:val="28"/>
        </w:rPr>
        <w:t xml:space="preserve"> </w:t>
      </w:r>
      <w:r>
        <w:rPr>
          <w:rFonts w:ascii="Bookman Old Style" w:hAnsi="Bookman Old Style"/>
          <w:sz w:val="28"/>
          <w:szCs w:val="28"/>
        </w:rPr>
        <w:t xml:space="preserve">sentencia absolutoria </w:t>
      </w:r>
      <w:r w:rsidRPr="004D6B07">
        <w:rPr>
          <w:rFonts w:ascii="Bookman Old Style" w:hAnsi="Bookman Old Style"/>
          <w:sz w:val="28"/>
          <w:szCs w:val="28"/>
        </w:rPr>
        <w:t>emitid</w:t>
      </w:r>
      <w:r>
        <w:rPr>
          <w:rFonts w:ascii="Bookman Old Style" w:hAnsi="Bookman Old Style"/>
          <w:sz w:val="28"/>
          <w:szCs w:val="28"/>
        </w:rPr>
        <w:t>a</w:t>
      </w:r>
      <w:r w:rsidRPr="004D6B07">
        <w:rPr>
          <w:rFonts w:ascii="Bookman Old Style" w:hAnsi="Bookman Old Style"/>
          <w:sz w:val="28"/>
          <w:szCs w:val="28"/>
        </w:rPr>
        <w:t xml:space="preserve"> el </w:t>
      </w:r>
      <w:r>
        <w:rPr>
          <w:rFonts w:ascii="Bookman Old Style" w:hAnsi="Bookman Old Style"/>
          <w:sz w:val="28"/>
          <w:szCs w:val="28"/>
        </w:rPr>
        <w:t>12</w:t>
      </w:r>
      <w:r w:rsidRPr="004D6B07">
        <w:rPr>
          <w:rFonts w:ascii="Bookman Old Style" w:hAnsi="Bookman Old Style"/>
          <w:sz w:val="28"/>
          <w:szCs w:val="28"/>
        </w:rPr>
        <w:t xml:space="preserve"> de </w:t>
      </w:r>
      <w:r>
        <w:rPr>
          <w:rFonts w:ascii="Bookman Old Style" w:hAnsi="Bookman Old Style"/>
          <w:sz w:val="28"/>
          <w:szCs w:val="28"/>
        </w:rPr>
        <w:t>diciembre de 2013</w:t>
      </w:r>
      <w:r w:rsidRPr="004D6B07">
        <w:rPr>
          <w:rFonts w:ascii="Bookman Old Style" w:hAnsi="Bookman Old Style"/>
          <w:sz w:val="28"/>
          <w:szCs w:val="28"/>
        </w:rPr>
        <w:t xml:space="preserve"> por el Juzgado </w:t>
      </w:r>
      <w:r>
        <w:rPr>
          <w:rFonts w:ascii="Bookman Old Style" w:hAnsi="Bookman Old Style"/>
          <w:sz w:val="28"/>
          <w:szCs w:val="28"/>
        </w:rPr>
        <w:t xml:space="preserve">Segundo </w:t>
      </w:r>
      <w:r w:rsidRPr="004D6B07">
        <w:rPr>
          <w:rFonts w:ascii="Bookman Old Style" w:hAnsi="Bookman Old Style"/>
          <w:sz w:val="28"/>
          <w:szCs w:val="28"/>
        </w:rPr>
        <w:t xml:space="preserve">Penal del Circuito de </w:t>
      </w:r>
      <w:r>
        <w:rPr>
          <w:rFonts w:ascii="Bookman Old Style" w:hAnsi="Bookman Old Style"/>
          <w:sz w:val="28"/>
          <w:szCs w:val="28"/>
        </w:rPr>
        <w:t>Duitama y en su lugar la conden</w:t>
      </w:r>
      <w:r w:rsidR="00510B25">
        <w:rPr>
          <w:rFonts w:ascii="Bookman Old Style" w:hAnsi="Bookman Old Style"/>
          <w:sz w:val="28"/>
          <w:szCs w:val="28"/>
        </w:rPr>
        <w:t>a</w:t>
      </w:r>
      <w:r>
        <w:rPr>
          <w:rFonts w:ascii="Bookman Old Style" w:hAnsi="Bookman Old Style"/>
          <w:sz w:val="28"/>
          <w:szCs w:val="28"/>
        </w:rPr>
        <w:t xml:space="preserve"> junto con Fredy Alexander Villamizar a prisión de cincuenta (50) meses por el delito de tráfico, fabricación y porte de estupefacientes.</w:t>
      </w:r>
    </w:p>
    <w:p w:rsidR="004C7093" w:rsidRDefault="004C7093" w:rsidP="004C7093">
      <w:pPr>
        <w:spacing w:line="360" w:lineRule="auto"/>
        <w:jc w:val="center"/>
        <w:rPr>
          <w:rFonts w:ascii="Bookman Old Style" w:hAnsi="Bookman Old Style" w:cs="Arial"/>
          <w:sz w:val="28"/>
          <w:szCs w:val="28"/>
        </w:rPr>
      </w:pPr>
    </w:p>
    <w:p w:rsidR="004C7093" w:rsidRPr="00F172E7" w:rsidRDefault="004C7093" w:rsidP="004C7093">
      <w:pPr>
        <w:spacing w:line="360" w:lineRule="auto"/>
        <w:jc w:val="center"/>
        <w:rPr>
          <w:rFonts w:ascii="Bookman Old Style" w:hAnsi="Bookman Old Style" w:cs="Arial"/>
          <w:sz w:val="28"/>
          <w:szCs w:val="28"/>
        </w:rPr>
      </w:pPr>
      <w:r w:rsidRPr="00F172E7">
        <w:rPr>
          <w:rFonts w:ascii="Bookman Old Style" w:hAnsi="Bookman Old Style" w:cs="Arial"/>
          <w:sz w:val="28"/>
          <w:szCs w:val="28"/>
        </w:rPr>
        <w:t>HECHOS</w:t>
      </w:r>
    </w:p>
    <w:p w:rsidR="004C7093" w:rsidRPr="00F172E7" w:rsidRDefault="004C7093" w:rsidP="004C7093">
      <w:pPr>
        <w:spacing w:line="360" w:lineRule="auto"/>
        <w:jc w:val="both"/>
        <w:rPr>
          <w:rFonts w:ascii="Bookman Old Style" w:hAnsi="Bookman Old Style" w:cs="Arial"/>
          <w:sz w:val="28"/>
          <w:szCs w:val="28"/>
        </w:rPr>
      </w:pPr>
    </w:p>
    <w:p w:rsidR="00B013EC" w:rsidRPr="00B013EC" w:rsidRDefault="008623E5" w:rsidP="00B013EC">
      <w:pPr>
        <w:pStyle w:val="Textoindependiente"/>
        <w:ind w:firstLine="708"/>
        <w:rPr>
          <w:rFonts w:ascii="Bookman Old Style" w:hAnsi="Bookman Old Style"/>
          <w:spacing w:val="-3"/>
          <w:sz w:val="28"/>
          <w:szCs w:val="28"/>
          <w:lang w:val="es-CO"/>
        </w:rPr>
      </w:pPr>
      <w:r>
        <w:rPr>
          <w:rFonts w:ascii="Bookman Old Style" w:hAnsi="Bookman Old Style" w:cs="Arial"/>
          <w:spacing w:val="-3"/>
          <w:sz w:val="28"/>
          <w:szCs w:val="28"/>
        </w:rPr>
        <w:t>Informes de la SIJIN de diciembre 4 de 2005 y febrero 28 de 2006, daban cuenta sobre el tráfico de estupefacientes en Duitama procedente de la ciudad de Sogamoso</w:t>
      </w:r>
      <w:r w:rsidR="00B013EC">
        <w:rPr>
          <w:rFonts w:ascii="Bookman Old Style" w:hAnsi="Bookman Old Style" w:cs="Arial"/>
          <w:spacing w:val="-3"/>
          <w:sz w:val="28"/>
          <w:szCs w:val="28"/>
        </w:rPr>
        <w:t xml:space="preserve"> y del Casanare, que abastecía a tres organizaciones criminales, </w:t>
      </w:r>
      <w:r w:rsidR="00B013EC" w:rsidRPr="00B013EC">
        <w:rPr>
          <w:rFonts w:ascii="Bookman Old Style" w:hAnsi="Bookman Old Style" w:cs="Arial"/>
          <w:i/>
          <w:spacing w:val="-3"/>
          <w:sz w:val="28"/>
          <w:szCs w:val="28"/>
        </w:rPr>
        <w:t>“</w:t>
      </w:r>
      <w:proofErr w:type="spellStart"/>
      <w:r w:rsidR="00B013EC" w:rsidRPr="00B013EC">
        <w:rPr>
          <w:rFonts w:ascii="Bookman Old Style" w:hAnsi="Bookman Old Style" w:cs="Arial"/>
          <w:i/>
          <w:spacing w:val="-3"/>
          <w:sz w:val="28"/>
          <w:szCs w:val="28"/>
        </w:rPr>
        <w:t>Pichirilo</w:t>
      </w:r>
      <w:proofErr w:type="spellEnd"/>
      <w:r w:rsidR="00B013EC" w:rsidRPr="00B013EC">
        <w:rPr>
          <w:rFonts w:ascii="Bookman Old Style" w:hAnsi="Bookman Old Style" w:cs="Arial"/>
          <w:i/>
          <w:spacing w:val="-3"/>
          <w:sz w:val="28"/>
          <w:szCs w:val="28"/>
        </w:rPr>
        <w:t xml:space="preserve">”, “la Milagrosa” y </w:t>
      </w:r>
      <w:r w:rsidR="00B013EC">
        <w:rPr>
          <w:rFonts w:ascii="Bookman Old Style" w:hAnsi="Bookman Old Style" w:cs="Arial"/>
          <w:i/>
          <w:spacing w:val="-3"/>
          <w:sz w:val="28"/>
          <w:szCs w:val="28"/>
        </w:rPr>
        <w:t>“</w:t>
      </w:r>
      <w:r w:rsidR="00B013EC" w:rsidRPr="00B013EC">
        <w:rPr>
          <w:rFonts w:ascii="Bookman Old Style" w:hAnsi="Bookman Old Style" w:cs="Arial"/>
          <w:i/>
          <w:spacing w:val="-3"/>
          <w:sz w:val="28"/>
          <w:szCs w:val="28"/>
        </w:rPr>
        <w:t xml:space="preserve">las </w:t>
      </w:r>
      <w:proofErr w:type="spellStart"/>
      <w:r w:rsidR="00B013EC" w:rsidRPr="00B013EC">
        <w:rPr>
          <w:rFonts w:ascii="Bookman Old Style" w:hAnsi="Bookman Old Style" w:cs="Arial"/>
          <w:i/>
          <w:spacing w:val="-3"/>
          <w:sz w:val="28"/>
          <w:szCs w:val="28"/>
        </w:rPr>
        <w:t>Panqueva</w:t>
      </w:r>
      <w:proofErr w:type="spellEnd"/>
      <w:r w:rsidR="00B013EC" w:rsidRPr="00B013EC">
        <w:rPr>
          <w:rFonts w:ascii="Bookman Old Style" w:hAnsi="Bookman Old Style" w:cs="Arial"/>
          <w:i/>
          <w:spacing w:val="-3"/>
          <w:sz w:val="28"/>
          <w:szCs w:val="28"/>
        </w:rPr>
        <w:t>”</w:t>
      </w:r>
      <w:r w:rsidR="00B013EC">
        <w:rPr>
          <w:rFonts w:ascii="Bookman Old Style" w:hAnsi="Bookman Old Style" w:cs="Arial"/>
          <w:spacing w:val="-3"/>
          <w:sz w:val="28"/>
          <w:szCs w:val="28"/>
        </w:rPr>
        <w:t xml:space="preserve">, dedicadas a comercializar en distintos sectores de </w:t>
      </w:r>
      <w:r w:rsidR="00454A45">
        <w:rPr>
          <w:rFonts w:ascii="Bookman Old Style" w:hAnsi="Bookman Old Style" w:cs="Arial"/>
          <w:spacing w:val="-3"/>
          <w:sz w:val="28"/>
          <w:szCs w:val="28"/>
        </w:rPr>
        <w:t>dicha población</w:t>
      </w:r>
      <w:r w:rsidR="00B013EC">
        <w:rPr>
          <w:rFonts w:ascii="Bookman Old Style" w:hAnsi="Bookman Old Style" w:cs="Arial"/>
          <w:spacing w:val="-3"/>
          <w:sz w:val="28"/>
          <w:szCs w:val="28"/>
        </w:rPr>
        <w:t xml:space="preserve"> en promedio quince (15) kilos de marihuana y diez (10) de cocaína. De la primera </w:t>
      </w:r>
      <w:r w:rsidR="00536B1B">
        <w:rPr>
          <w:rFonts w:ascii="Bookman Old Style" w:hAnsi="Bookman Old Style" w:cs="Arial"/>
          <w:spacing w:val="-3"/>
          <w:sz w:val="28"/>
          <w:szCs w:val="28"/>
        </w:rPr>
        <w:t xml:space="preserve">banda delincuencial </w:t>
      </w:r>
      <w:r w:rsidR="00B013EC">
        <w:rPr>
          <w:rFonts w:ascii="Bookman Old Style" w:hAnsi="Bookman Old Style" w:cs="Arial"/>
          <w:spacing w:val="-3"/>
          <w:sz w:val="28"/>
          <w:szCs w:val="28"/>
        </w:rPr>
        <w:t xml:space="preserve">liderada por Luis Ernesto Reyes y </w:t>
      </w:r>
      <w:r w:rsidR="00536B1B">
        <w:rPr>
          <w:rFonts w:ascii="Bookman Old Style" w:hAnsi="Bookman Old Style" w:cs="Arial"/>
          <w:spacing w:val="-3"/>
          <w:sz w:val="28"/>
          <w:szCs w:val="28"/>
        </w:rPr>
        <w:t xml:space="preserve">dedicada al expendio de drogas </w:t>
      </w:r>
      <w:r w:rsidR="00B013EC">
        <w:rPr>
          <w:rFonts w:ascii="Bookman Old Style" w:hAnsi="Bookman Old Style" w:cs="Arial"/>
          <w:spacing w:val="-3"/>
          <w:sz w:val="28"/>
          <w:szCs w:val="28"/>
        </w:rPr>
        <w:t>en el barrio San Carlos, hacía parte MARITZA RIVEROS TIRIA.</w:t>
      </w:r>
    </w:p>
    <w:p w:rsidR="004C7093" w:rsidRPr="00F172E7" w:rsidRDefault="004C7093" w:rsidP="00C36222">
      <w:pPr>
        <w:pStyle w:val="Sinespaciado"/>
        <w:rPr>
          <w:lang w:val="es-CO"/>
        </w:rPr>
      </w:pPr>
    </w:p>
    <w:p w:rsidR="004C7093" w:rsidRPr="00F172E7" w:rsidRDefault="004C7093" w:rsidP="00C36222">
      <w:pPr>
        <w:pStyle w:val="Sinespaciado"/>
        <w:spacing w:line="480" w:lineRule="auto"/>
      </w:pPr>
    </w:p>
    <w:p w:rsidR="004C7093" w:rsidRPr="00F172E7" w:rsidRDefault="004C7093" w:rsidP="004C7093">
      <w:pPr>
        <w:spacing w:line="360" w:lineRule="auto"/>
        <w:jc w:val="center"/>
        <w:rPr>
          <w:rFonts w:ascii="Bookman Old Style" w:hAnsi="Bookman Old Style" w:cs="Arial"/>
          <w:sz w:val="28"/>
          <w:szCs w:val="28"/>
        </w:rPr>
      </w:pPr>
      <w:r w:rsidRPr="00F172E7">
        <w:rPr>
          <w:rFonts w:ascii="Bookman Old Style" w:hAnsi="Bookman Old Style" w:cs="Arial"/>
          <w:sz w:val="28"/>
          <w:szCs w:val="28"/>
        </w:rPr>
        <w:t>ACTUACIÓN PROCESAL</w:t>
      </w:r>
    </w:p>
    <w:p w:rsidR="004C7093" w:rsidRPr="00F172E7" w:rsidRDefault="004C7093" w:rsidP="004C7093">
      <w:pPr>
        <w:spacing w:line="360" w:lineRule="auto"/>
        <w:jc w:val="both"/>
        <w:rPr>
          <w:rFonts w:ascii="Bookman Old Style" w:hAnsi="Bookman Old Style" w:cs="Arial"/>
          <w:sz w:val="28"/>
          <w:szCs w:val="28"/>
        </w:rPr>
      </w:pPr>
    </w:p>
    <w:p w:rsidR="004C7093" w:rsidRDefault="004C7093" w:rsidP="004C7093">
      <w:pPr>
        <w:spacing w:line="360" w:lineRule="auto"/>
        <w:ind w:firstLine="709"/>
        <w:jc w:val="both"/>
        <w:rPr>
          <w:rFonts w:ascii="Bookman Old Style" w:hAnsi="Bookman Old Style" w:cs="Arial"/>
          <w:spacing w:val="-3"/>
          <w:sz w:val="28"/>
          <w:szCs w:val="28"/>
        </w:rPr>
      </w:pPr>
      <w:r w:rsidRPr="004D6B07">
        <w:rPr>
          <w:rFonts w:ascii="Bookman Old Style" w:hAnsi="Bookman Old Style" w:cs="Arial"/>
          <w:spacing w:val="-3"/>
          <w:sz w:val="28"/>
          <w:szCs w:val="28"/>
        </w:rPr>
        <w:t xml:space="preserve">El </w:t>
      </w:r>
      <w:r>
        <w:rPr>
          <w:rFonts w:ascii="Bookman Old Style" w:hAnsi="Bookman Old Style" w:cs="Arial"/>
          <w:spacing w:val="-3"/>
          <w:sz w:val="28"/>
          <w:szCs w:val="28"/>
        </w:rPr>
        <w:t>2</w:t>
      </w:r>
      <w:r w:rsidR="000870FE">
        <w:rPr>
          <w:rFonts w:ascii="Bookman Old Style" w:hAnsi="Bookman Old Style" w:cs="Arial"/>
          <w:spacing w:val="-3"/>
          <w:sz w:val="28"/>
          <w:szCs w:val="28"/>
        </w:rPr>
        <w:t>9</w:t>
      </w:r>
      <w:r w:rsidRPr="004D6B07">
        <w:rPr>
          <w:rFonts w:ascii="Bookman Old Style" w:hAnsi="Bookman Old Style" w:cs="Arial"/>
          <w:spacing w:val="-3"/>
          <w:sz w:val="28"/>
          <w:szCs w:val="28"/>
        </w:rPr>
        <w:t xml:space="preserve"> de </w:t>
      </w:r>
      <w:r w:rsidR="000870FE">
        <w:rPr>
          <w:rFonts w:ascii="Bookman Old Style" w:hAnsi="Bookman Old Style" w:cs="Arial"/>
          <w:spacing w:val="-3"/>
          <w:sz w:val="28"/>
          <w:szCs w:val="28"/>
        </w:rPr>
        <w:t>marzo de 2006</w:t>
      </w:r>
      <w:r w:rsidRPr="004D6B07">
        <w:rPr>
          <w:rFonts w:ascii="Bookman Old Style" w:hAnsi="Bookman Old Style" w:cs="Arial"/>
          <w:spacing w:val="-3"/>
          <w:sz w:val="28"/>
          <w:szCs w:val="28"/>
        </w:rPr>
        <w:t xml:space="preserve"> </w:t>
      </w:r>
      <w:r w:rsidR="000870FE">
        <w:rPr>
          <w:rFonts w:ascii="Bookman Old Style" w:hAnsi="Bookman Old Style" w:cs="Arial"/>
          <w:spacing w:val="-3"/>
          <w:sz w:val="28"/>
          <w:szCs w:val="28"/>
        </w:rPr>
        <w:t>el</w:t>
      </w:r>
      <w:r>
        <w:rPr>
          <w:rFonts w:ascii="Bookman Old Style" w:hAnsi="Bookman Old Style" w:cs="Arial"/>
          <w:spacing w:val="-3"/>
          <w:sz w:val="28"/>
          <w:szCs w:val="28"/>
        </w:rPr>
        <w:t xml:space="preserve"> Fiscal</w:t>
      </w:r>
      <w:r w:rsidR="000870FE">
        <w:rPr>
          <w:rFonts w:ascii="Bookman Old Style" w:hAnsi="Bookman Old Style" w:cs="Arial"/>
          <w:spacing w:val="-3"/>
          <w:sz w:val="28"/>
          <w:szCs w:val="28"/>
        </w:rPr>
        <w:t xml:space="preserve"> Primero </w:t>
      </w:r>
      <w:r>
        <w:rPr>
          <w:rFonts w:ascii="Bookman Old Style" w:hAnsi="Bookman Old Style" w:cs="Arial"/>
          <w:spacing w:val="-3"/>
          <w:sz w:val="28"/>
          <w:szCs w:val="28"/>
        </w:rPr>
        <w:t>Delegad</w:t>
      </w:r>
      <w:r w:rsidR="000870FE">
        <w:rPr>
          <w:rFonts w:ascii="Bookman Old Style" w:hAnsi="Bookman Old Style" w:cs="Arial"/>
          <w:spacing w:val="-3"/>
          <w:sz w:val="28"/>
          <w:szCs w:val="28"/>
        </w:rPr>
        <w:t xml:space="preserve">o de la Unidad de Fiscalía Especializada de Santa Rosa de Viterbo, </w:t>
      </w:r>
      <w:r>
        <w:rPr>
          <w:rFonts w:ascii="Bookman Old Style" w:hAnsi="Bookman Old Style" w:cs="Arial"/>
          <w:spacing w:val="-3"/>
          <w:sz w:val="28"/>
          <w:szCs w:val="28"/>
        </w:rPr>
        <w:t xml:space="preserve">dispuso la apertura de instrucción </w:t>
      </w:r>
      <w:r w:rsidR="000870FE">
        <w:rPr>
          <w:rFonts w:ascii="Bookman Old Style" w:hAnsi="Bookman Old Style" w:cs="Arial"/>
          <w:spacing w:val="-3"/>
          <w:sz w:val="28"/>
          <w:szCs w:val="28"/>
        </w:rPr>
        <w:t xml:space="preserve">por los delitos de concierto para delinquir y tráfico, fabricación o porte de estupefacientes, </w:t>
      </w:r>
      <w:r>
        <w:rPr>
          <w:rFonts w:ascii="Bookman Old Style" w:hAnsi="Bookman Old Style" w:cs="Arial"/>
          <w:spacing w:val="-3"/>
          <w:sz w:val="28"/>
          <w:szCs w:val="28"/>
        </w:rPr>
        <w:t>y vincular al proceso</w:t>
      </w:r>
      <w:r w:rsidR="000870FE">
        <w:rPr>
          <w:rFonts w:ascii="Bookman Old Style" w:hAnsi="Bookman Old Style" w:cs="Arial"/>
          <w:spacing w:val="-3"/>
          <w:sz w:val="28"/>
          <w:szCs w:val="28"/>
        </w:rPr>
        <w:t xml:space="preserve"> a integrantes de esas organizaciones, entre ellos, MARITZA RIVEROS TIRIA.</w:t>
      </w:r>
    </w:p>
    <w:p w:rsidR="000870FE" w:rsidRDefault="000870FE" w:rsidP="004C7093">
      <w:pPr>
        <w:spacing w:line="360" w:lineRule="auto"/>
        <w:ind w:firstLine="709"/>
        <w:jc w:val="both"/>
        <w:rPr>
          <w:rFonts w:ascii="Bookman Old Style" w:hAnsi="Bookman Old Style" w:cs="Arial"/>
          <w:spacing w:val="-3"/>
          <w:sz w:val="28"/>
          <w:szCs w:val="28"/>
        </w:rPr>
      </w:pPr>
    </w:p>
    <w:p w:rsidR="000870FE" w:rsidRDefault="000870FE"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El 29 de enero de 2007 declara parcialmente nula la apertura de instrucción en relación con el delito de concierto para delinquir y </w:t>
      </w:r>
      <w:r w:rsidR="00B6590E">
        <w:rPr>
          <w:rFonts w:ascii="Bookman Old Style" w:hAnsi="Bookman Old Style" w:cs="Arial"/>
          <w:spacing w:val="-3"/>
          <w:sz w:val="28"/>
          <w:szCs w:val="28"/>
        </w:rPr>
        <w:t>ordena</w:t>
      </w:r>
      <w:r>
        <w:rPr>
          <w:rFonts w:ascii="Bookman Old Style" w:hAnsi="Bookman Old Style" w:cs="Arial"/>
          <w:spacing w:val="-3"/>
          <w:sz w:val="28"/>
          <w:szCs w:val="28"/>
        </w:rPr>
        <w:t xml:space="preserve"> la ruptura de la unidad procesal, para investigar en este proceso únicamente </w:t>
      </w:r>
      <w:r w:rsidR="00454A45">
        <w:rPr>
          <w:rFonts w:ascii="Bookman Old Style" w:hAnsi="Bookman Old Style" w:cs="Arial"/>
          <w:spacing w:val="-3"/>
          <w:sz w:val="28"/>
          <w:szCs w:val="28"/>
        </w:rPr>
        <w:t xml:space="preserve">a los integrantes de la banda </w:t>
      </w:r>
      <w:r w:rsidR="00454A45">
        <w:rPr>
          <w:rFonts w:ascii="Bookman Old Style" w:hAnsi="Bookman Old Style" w:cs="Arial"/>
          <w:i/>
          <w:spacing w:val="-3"/>
          <w:sz w:val="28"/>
          <w:szCs w:val="28"/>
        </w:rPr>
        <w:t>“</w:t>
      </w:r>
      <w:proofErr w:type="spellStart"/>
      <w:r w:rsidR="00454A45">
        <w:rPr>
          <w:rFonts w:ascii="Bookman Old Style" w:hAnsi="Bookman Old Style" w:cs="Arial"/>
          <w:i/>
          <w:spacing w:val="-3"/>
          <w:sz w:val="28"/>
          <w:szCs w:val="28"/>
        </w:rPr>
        <w:t>Pichirilo</w:t>
      </w:r>
      <w:proofErr w:type="spellEnd"/>
      <w:r w:rsidR="00454A45">
        <w:rPr>
          <w:rFonts w:ascii="Bookman Old Style" w:hAnsi="Bookman Old Style" w:cs="Arial"/>
          <w:i/>
          <w:spacing w:val="-3"/>
          <w:sz w:val="28"/>
          <w:szCs w:val="28"/>
        </w:rPr>
        <w:t>”</w:t>
      </w:r>
      <w:r w:rsidR="00454A45">
        <w:rPr>
          <w:rFonts w:ascii="Bookman Old Style" w:hAnsi="Bookman Old Style" w:cs="Arial"/>
          <w:spacing w:val="-3"/>
          <w:sz w:val="28"/>
          <w:szCs w:val="28"/>
        </w:rPr>
        <w:t xml:space="preserve"> por </w:t>
      </w:r>
      <w:r w:rsidR="00B6590E">
        <w:rPr>
          <w:rFonts w:ascii="Bookman Old Style" w:hAnsi="Bookman Old Style" w:cs="Arial"/>
          <w:spacing w:val="-3"/>
          <w:sz w:val="28"/>
          <w:szCs w:val="28"/>
        </w:rPr>
        <w:t>la conducta de tráfico</w:t>
      </w:r>
      <w:r w:rsidR="00454A45">
        <w:rPr>
          <w:rFonts w:ascii="Bookman Old Style" w:hAnsi="Bookman Old Style" w:cs="Arial"/>
          <w:spacing w:val="-3"/>
          <w:sz w:val="28"/>
          <w:szCs w:val="28"/>
        </w:rPr>
        <w:t>, fabricación o porte de estupefacientes</w:t>
      </w:r>
      <w:r>
        <w:rPr>
          <w:rFonts w:ascii="Bookman Old Style" w:hAnsi="Bookman Old Style" w:cs="Arial"/>
          <w:spacing w:val="-3"/>
          <w:sz w:val="28"/>
          <w:szCs w:val="28"/>
        </w:rPr>
        <w:t>.</w:t>
      </w:r>
    </w:p>
    <w:p w:rsidR="00B6590E" w:rsidRDefault="00B6590E" w:rsidP="004C7093">
      <w:pPr>
        <w:spacing w:line="360" w:lineRule="auto"/>
        <w:ind w:firstLine="709"/>
        <w:jc w:val="both"/>
        <w:rPr>
          <w:rFonts w:ascii="Bookman Old Style" w:hAnsi="Bookman Old Style" w:cs="Arial"/>
          <w:spacing w:val="-3"/>
          <w:sz w:val="28"/>
          <w:szCs w:val="28"/>
        </w:rPr>
      </w:pPr>
    </w:p>
    <w:p w:rsidR="00B6590E" w:rsidRDefault="00095C23"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El 21 de abril de 2008 MARITZA RIVEROS TIRIA es oída en indagatoria.</w:t>
      </w:r>
    </w:p>
    <w:p w:rsidR="004C7093" w:rsidRDefault="004C7093"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 </w:t>
      </w:r>
    </w:p>
    <w:p w:rsidR="004C7093" w:rsidRDefault="004C7093" w:rsidP="004C7093">
      <w:pPr>
        <w:spacing w:line="360" w:lineRule="auto"/>
        <w:ind w:firstLine="709"/>
        <w:jc w:val="both"/>
        <w:rPr>
          <w:rFonts w:ascii="Bookman Old Style" w:hAnsi="Bookman Old Style" w:cs="Arial"/>
          <w:spacing w:val="-3"/>
          <w:sz w:val="28"/>
          <w:szCs w:val="28"/>
        </w:rPr>
      </w:pPr>
      <w:r w:rsidRPr="004D6B07">
        <w:rPr>
          <w:rFonts w:ascii="Bookman Old Style" w:hAnsi="Bookman Old Style" w:cs="Arial"/>
          <w:spacing w:val="-3"/>
          <w:sz w:val="28"/>
          <w:szCs w:val="28"/>
        </w:rPr>
        <w:t xml:space="preserve">El </w:t>
      </w:r>
      <w:r w:rsidR="00454A45">
        <w:rPr>
          <w:rFonts w:ascii="Bookman Old Style" w:hAnsi="Bookman Old Style" w:cs="Arial"/>
          <w:spacing w:val="-3"/>
          <w:sz w:val="28"/>
          <w:szCs w:val="28"/>
        </w:rPr>
        <w:t>27</w:t>
      </w:r>
      <w:r>
        <w:rPr>
          <w:rFonts w:ascii="Bookman Old Style" w:hAnsi="Bookman Old Style" w:cs="Arial"/>
          <w:spacing w:val="-3"/>
          <w:sz w:val="28"/>
          <w:szCs w:val="28"/>
        </w:rPr>
        <w:t xml:space="preserve"> de </w:t>
      </w:r>
      <w:r w:rsidR="00454A45">
        <w:rPr>
          <w:rFonts w:ascii="Bookman Old Style" w:hAnsi="Bookman Old Style" w:cs="Arial"/>
          <w:spacing w:val="-3"/>
          <w:sz w:val="28"/>
          <w:szCs w:val="28"/>
        </w:rPr>
        <w:t xml:space="preserve">septiembre de 2011 la Fiscalía Quinta acusó a la procesada y otros miembros  de la organización </w:t>
      </w:r>
      <w:r w:rsidR="00454A45">
        <w:rPr>
          <w:rFonts w:ascii="Bookman Old Style" w:hAnsi="Bookman Old Style" w:cs="Arial"/>
          <w:i/>
          <w:spacing w:val="-3"/>
          <w:sz w:val="28"/>
          <w:szCs w:val="28"/>
        </w:rPr>
        <w:t>“</w:t>
      </w:r>
      <w:proofErr w:type="spellStart"/>
      <w:r w:rsidR="00454A45">
        <w:rPr>
          <w:rFonts w:ascii="Bookman Old Style" w:hAnsi="Bookman Old Style" w:cs="Arial"/>
          <w:i/>
          <w:spacing w:val="-3"/>
          <w:sz w:val="28"/>
          <w:szCs w:val="28"/>
        </w:rPr>
        <w:t>Pichirilo</w:t>
      </w:r>
      <w:proofErr w:type="spellEnd"/>
      <w:r w:rsidR="00454A45">
        <w:rPr>
          <w:rFonts w:ascii="Bookman Old Style" w:hAnsi="Bookman Old Style" w:cs="Arial"/>
          <w:i/>
          <w:spacing w:val="-3"/>
          <w:sz w:val="28"/>
          <w:szCs w:val="28"/>
        </w:rPr>
        <w:t xml:space="preserve">” </w:t>
      </w:r>
      <w:r w:rsidR="00454A45">
        <w:rPr>
          <w:rFonts w:ascii="Bookman Old Style" w:hAnsi="Bookman Old Style" w:cs="Arial"/>
          <w:spacing w:val="-3"/>
          <w:sz w:val="28"/>
          <w:szCs w:val="28"/>
        </w:rPr>
        <w:t xml:space="preserve">del delito imputado, decisión que causó ejecutoria material el </w:t>
      </w:r>
      <w:r w:rsidR="00C92B5E">
        <w:rPr>
          <w:rFonts w:ascii="Bookman Old Style" w:hAnsi="Bookman Old Style" w:cs="Arial"/>
          <w:spacing w:val="-3"/>
          <w:sz w:val="28"/>
          <w:szCs w:val="28"/>
        </w:rPr>
        <w:t>18 de octubre del mismo año</w:t>
      </w:r>
      <w:r>
        <w:rPr>
          <w:rFonts w:ascii="Bookman Old Style" w:hAnsi="Bookman Old Style" w:cs="Arial"/>
          <w:spacing w:val="-3"/>
          <w:sz w:val="28"/>
          <w:szCs w:val="28"/>
        </w:rPr>
        <w:t>.</w:t>
      </w:r>
    </w:p>
    <w:p w:rsidR="004C7093" w:rsidRDefault="004C7093" w:rsidP="004C7093">
      <w:pPr>
        <w:spacing w:line="360" w:lineRule="auto"/>
        <w:ind w:firstLine="709"/>
        <w:jc w:val="both"/>
        <w:rPr>
          <w:rFonts w:ascii="Bookman Old Style" w:hAnsi="Bookman Old Style" w:cs="Arial"/>
          <w:spacing w:val="-3"/>
          <w:sz w:val="28"/>
          <w:szCs w:val="28"/>
        </w:rPr>
      </w:pPr>
    </w:p>
    <w:p w:rsidR="004C7093" w:rsidRDefault="004C7093" w:rsidP="004C7093">
      <w:pPr>
        <w:spacing w:line="360" w:lineRule="auto"/>
        <w:ind w:firstLine="709"/>
        <w:jc w:val="both"/>
        <w:rPr>
          <w:rFonts w:ascii="Bookman Old Style" w:hAnsi="Bookman Old Style" w:cs="Arial"/>
          <w:sz w:val="28"/>
          <w:szCs w:val="28"/>
        </w:rPr>
      </w:pPr>
      <w:r>
        <w:rPr>
          <w:rFonts w:ascii="Bookman Old Style" w:hAnsi="Bookman Old Style" w:cs="Arial"/>
          <w:spacing w:val="-3"/>
          <w:sz w:val="28"/>
          <w:szCs w:val="28"/>
        </w:rPr>
        <w:t xml:space="preserve">El juicio correspondió adelantarlo al Juzgado </w:t>
      </w:r>
      <w:r w:rsidR="00C92B5E">
        <w:rPr>
          <w:rFonts w:ascii="Bookman Old Style" w:hAnsi="Bookman Old Style" w:cs="Arial"/>
          <w:spacing w:val="-3"/>
          <w:sz w:val="28"/>
          <w:szCs w:val="28"/>
        </w:rPr>
        <w:t xml:space="preserve">Segundo </w:t>
      </w:r>
      <w:r>
        <w:rPr>
          <w:rFonts w:ascii="Bookman Old Style" w:hAnsi="Bookman Old Style" w:cs="Arial"/>
          <w:spacing w:val="-3"/>
          <w:sz w:val="28"/>
          <w:szCs w:val="28"/>
        </w:rPr>
        <w:t xml:space="preserve">Penal del Circuito de </w:t>
      </w:r>
      <w:r w:rsidR="00C92B5E">
        <w:rPr>
          <w:rFonts w:ascii="Bookman Old Style" w:hAnsi="Bookman Old Style" w:cs="Arial"/>
          <w:spacing w:val="-3"/>
          <w:sz w:val="28"/>
          <w:szCs w:val="28"/>
        </w:rPr>
        <w:t>Duitama</w:t>
      </w:r>
      <w:r>
        <w:rPr>
          <w:rFonts w:ascii="Bookman Old Style" w:hAnsi="Bookman Old Style" w:cs="Arial"/>
          <w:spacing w:val="-3"/>
          <w:sz w:val="28"/>
          <w:szCs w:val="28"/>
        </w:rPr>
        <w:t xml:space="preserve">, que después de llevar a cabo la audiencia pública </w:t>
      </w:r>
      <w:r w:rsidR="00C92B5E">
        <w:rPr>
          <w:rFonts w:ascii="Bookman Old Style" w:hAnsi="Bookman Old Style" w:cs="Arial"/>
          <w:spacing w:val="-3"/>
          <w:sz w:val="28"/>
          <w:szCs w:val="28"/>
        </w:rPr>
        <w:t>absolvió a los acusados,</w:t>
      </w:r>
      <w:r>
        <w:rPr>
          <w:rFonts w:ascii="Bookman Old Style" w:hAnsi="Bookman Old Style" w:cs="Arial"/>
          <w:spacing w:val="-3"/>
          <w:sz w:val="28"/>
          <w:szCs w:val="28"/>
        </w:rPr>
        <w:t xml:space="preserve"> </w:t>
      </w:r>
      <w:r w:rsidR="00C92B5E">
        <w:rPr>
          <w:rFonts w:ascii="Bookman Old Style" w:hAnsi="Bookman Old Style" w:cs="Arial"/>
          <w:spacing w:val="-3"/>
          <w:sz w:val="28"/>
          <w:szCs w:val="28"/>
        </w:rPr>
        <w:t>decisión revocada</w:t>
      </w:r>
      <w:r>
        <w:rPr>
          <w:rFonts w:ascii="Bookman Old Style" w:hAnsi="Bookman Old Style" w:cs="Arial"/>
          <w:spacing w:val="-3"/>
          <w:sz w:val="28"/>
          <w:szCs w:val="28"/>
        </w:rPr>
        <w:t xml:space="preserve"> </w:t>
      </w:r>
      <w:r w:rsidR="00C92B5E">
        <w:rPr>
          <w:rFonts w:ascii="Bookman Old Style" w:hAnsi="Bookman Old Style" w:cs="Arial"/>
          <w:spacing w:val="-3"/>
          <w:sz w:val="28"/>
          <w:szCs w:val="28"/>
        </w:rPr>
        <w:t xml:space="preserve">parcialmente </w:t>
      </w:r>
      <w:r>
        <w:rPr>
          <w:rFonts w:ascii="Bookman Old Style" w:hAnsi="Bookman Old Style" w:cs="Arial"/>
          <w:spacing w:val="-3"/>
          <w:sz w:val="28"/>
          <w:szCs w:val="28"/>
        </w:rPr>
        <w:t xml:space="preserve">por el Tribunal Superior de </w:t>
      </w:r>
      <w:r w:rsidR="00C92B5E">
        <w:rPr>
          <w:rFonts w:ascii="Bookman Old Style" w:hAnsi="Bookman Old Style" w:cs="Arial"/>
          <w:spacing w:val="-3"/>
          <w:sz w:val="28"/>
          <w:szCs w:val="28"/>
        </w:rPr>
        <w:t>Santa Rosa de Viterbo al condenar a MARITZA RIVEROS TIRIA y a Fredy Alexander Villamizar.</w:t>
      </w:r>
    </w:p>
    <w:p w:rsidR="004C7093" w:rsidRDefault="004C7093" w:rsidP="004C7093">
      <w:pPr>
        <w:spacing w:line="360" w:lineRule="auto"/>
        <w:jc w:val="center"/>
        <w:rPr>
          <w:rFonts w:ascii="Bookman Old Style" w:hAnsi="Bookman Old Style" w:cs="Arial"/>
          <w:sz w:val="28"/>
          <w:szCs w:val="28"/>
        </w:rPr>
      </w:pPr>
    </w:p>
    <w:p w:rsidR="004C7093" w:rsidRPr="00F172E7" w:rsidRDefault="004C7093" w:rsidP="004C7093">
      <w:pPr>
        <w:spacing w:line="360" w:lineRule="auto"/>
        <w:jc w:val="center"/>
        <w:rPr>
          <w:rFonts w:ascii="Bookman Old Style" w:hAnsi="Bookman Old Style" w:cs="Arial"/>
          <w:sz w:val="28"/>
          <w:szCs w:val="28"/>
        </w:rPr>
      </w:pPr>
      <w:r>
        <w:rPr>
          <w:rFonts w:ascii="Bookman Old Style" w:hAnsi="Bookman Old Style" w:cs="Arial"/>
          <w:sz w:val="28"/>
          <w:szCs w:val="28"/>
        </w:rPr>
        <w:t xml:space="preserve">DE LA </w:t>
      </w:r>
      <w:r w:rsidRPr="00F172E7">
        <w:rPr>
          <w:rFonts w:ascii="Bookman Old Style" w:hAnsi="Bookman Old Style" w:cs="Arial"/>
          <w:sz w:val="28"/>
          <w:szCs w:val="28"/>
        </w:rPr>
        <w:t>DEMANDA</w:t>
      </w:r>
    </w:p>
    <w:p w:rsidR="004C7093" w:rsidRPr="00F172E7" w:rsidRDefault="004C7093" w:rsidP="004C7093">
      <w:pPr>
        <w:spacing w:line="360" w:lineRule="auto"/>
        <w:jc w:val="both"/>
        <w:rPr>
          <w:rFonts w:ascii="Bookman Old Style" w:hAnsi="Bookman Old Style" w:cs="Arial"/>
          <w:sz w:val="28"/>
          <w:szCs w:val="28"/>
        </w:rPr>
      </w:pPr>
    </w:p>
    <w:p w:rsidR="004C7093" w:rsidRDefault="004C7093"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Se propone </w:t>
      </w:r>
      <w:r w:rsidR="00141DC0">
        <w:rPr>
          <w:rFonts w:ascii="Bookman Old Style" w:hAnsi="Bookman Old Style" w:cs="Arial"/>
          <w:spacing w:val="-3"/>
          <w:sz w:val="28"/>
          <w:szCs w:val="28"/>
        </w:rPr>
        <w:t>un</w:t>
      </w:r>
      <w:r>
        <w:rPr>
          <w:rFonts w:ascii="Bookman Old Style" w:hAnsi="Bookman Old Style" w:cs="Arial"/>
          <w:spacing w:val="-3"/>
          <w:sz w:val="28"/>
          <w:szCs w:val="28"/>
        </w:rPr>
        <w:t xml:space="preserve"> (</w:t>
      </w:r>
      <w:r w:rsidR="00141DC0">
        <w:rPr>
          <w:rFonts w:ascii="Bookman Old Style" w:hAnsi="Bookman Old Style" w:cs="Arial"/>
          <w:spacing w:val="-3"/>
          <w:sz w:val="28"/>
          <w:szCs w:val="28"/>
        </w:rPr>
        <w:t>1</w:t>
      </w:r>
      <w:r>
        <w:rPr>
          <w:rFonts w:ascii="Bookman Old Style" w:hAnsi="Bookman Old Style" w:cs="Arial"/>
          <w:spacing w:val="-3"/>
          <w:sz w:val="28"/>
          <w:szCs w:val="28"/>
        </w:rPr>
        <w:t>) cargo.</w:t>
      </w:r>
    </w:p>
    <w:p w:rsidR="004C7093" w:rsidRDefault="004C7093" w:rsidP="004C7093">
      <w:pPr>
        <w:spacing w:line="360" w:lineRule="auto"/>
        <w:ind w:firstLine="709"/>
        <w:jc w:val="both"/>
        <w:rPr>
          <w:rFonts w:ascii="Bookman Old Style" w:hAnsi="Bookman Old Style" w:cs="Arial"/>
          <w:spacing w:val="-3"/>
          <w:sz w:val="28"/>
          <w:szCs w:val="28"/>
        </w:rPr>
      </w:pPr>
    </w:p>
    <w:p w:rsidR="00C36E5C" w:rsidRDefault="004C7093"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Al amparo de la causal </w:t>
      </w:r>
      <w:r w:rsidR="00C36E5C">
        <w:rPr>
          <w:rFonts w:ascii="Bookman Old Style" w:hAnsi="Bookman Old Style" w:cs="Arial"/>
          <w:spacing w:val="-3"/>
          <w:sz w:val="28"/>
          <w:szCs w:val="28"/>
        </w:rPr>
        <w:t>tercera</w:t>
      </w:r>
      <w:r>
        <w:rPr>
          <w:rFonts w:ascii="Bookman Old Style" w:hAnsi="Bookman Old Style" w:cs="Arial"/>
          <w:spacing w:val="-3"/>
          <w:sz w:val="28"/>
          <w:szCs w:val="28"/>
        </w:rPr>
        <w:t xml:space="preserve"> del artículo 207 de la ley 600 de 2000, el recurrente aduce </w:t>
      </w:r>
      <w:r w:rsidR="00C36E5C">
        <w:rPr>
          <w:rFonts w:ascii="Bookman Old Style" w:hAnsi="Bookman Old Style" w:cs="Arial"/>
          <w:spacing w:val="-3"/>
          <w:sz w:val="28"/>
          <w:szCs w:val="28"/>
        </w:rPr>
        <w:t>que la sentencia es dictada en un juicio viciado de nulidad por prescripción de la acción penal.</w:t>
      </w:r>
    </w:p>
    <w:p w:rsidR="00C36E5C" w:rsidRDefault="00C36E5C" w:rsidP="004C7093">
      <w:pPr>
        <w:spacing w:line="360" w:lineRule="auto"/>
        <w:ind w:firstLine="709"/>
        <w:jc w:val="both"/>
        <w:rPr>
          <w:rFonts w:ascii="Bookman Old Style" w:hAnsi="Bookman Old Style" w:cs="Arial"/>
          <w:spacing w:val="-3"/>
          <w:sz w:val="28"/>
          <w:szCs w:val="28"/>
        </w:rPr>
      </w:pPr>
    </w:p>
    <w:p w:rsidR="0048236E" w:rsidRDefault="0048236E"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El fenómeno extintivo de la acción se habría producido el 15 de octubre de 2014, de modo </w:t>
      </w:r>
      <w:r>
        <w:rPr>
          <w:rFonts w:ascii="Bookman Old Style" w:hAnsi="Bookman Old Style" w:cs="Arial"/>
          <w:i/>
          <w:spacing w:val="-3"/>
          <w:sz w:val="28"/>
          <w:szCs w:val="28"/>
        </w:rPr>
        <w:t>“que para el 12 de diciembre de 2014 cuando la Sala Penal del Tribunal profirió la sentencia de segunda instancia, la acción penal se encontraba prescrita”</w:t>
      </w:r>
      <w:r>
        <w:rPr>
          <w:rFonts w:ascii="Bookman Old Style" w:hAnsi="Bookman Old Style" w:cs="Arial"/>
          <w:spacing w:val="-3"/>
          <w:sz w:val="28"/>
          <w:szCs w:val="28"/>
        </w:rPr>
        <w:t>.</w:t>
      </w:r>
    </w:p>
    <w:p w:rsidR="0048236E" w:rsidRDefault="0048236E" w:rsidP="004C7093">
      <w:pPr>
        <w:spacing w:line="360" w:lineRule="auto"/>
        <w:ind w:firstLine="709"/>
        <w:jc w:val="both"/>
        <w:rPr>
          <w:rFonts w:ascii="Bookman Old Style" w:hAnsi="Bookman Old Style" w:cs="Arial"/>
          <w:spacing w:val="-3"/>
          <w:sz w:val="28"/>
          <w:szCs w:val="28"/>
        </w:rPr>
      </w:pPr>
    </w:p>
    <w:p w:rsidR="0048236E" w:rsidRDefault="0048236E"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La resolución de acusación proferida contra MARTIZA RIVEROS y otros, el 27 de septiembre de 2011 por el delito de tráfico, fabricación o porte de estupefacientes quedó en firme el 14 de octubre de ese año.</w:t>
      </w:r>
    </w:p>
    <w:p w:rsidR="0048236E" w:rsidRDefault="0048236E" w:rsidP="009917A8">
      <w:pPr>
        <w:spacing w:line="480" w:lineRule="auto"/>
        <w:ind w:firstLine="709"/>
        <w:jc w:val="both"/>
        <w:rPr>
          <w:rFonts w:ascii="Bookman Old Style" w:hAnsi="Bookman Old Style" w:cs="Arial"/>
          <w:spacing w:val="-3"/>
          <w:sz w:val="28"/>
          <w:szCs w:val="28"/>
        </w:rPr>
      </w:pPr>
    </w:p>
    <w:p w:rsidR="00DF4DC5" w:rsidRDefault="0048236E"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Como el artículo 29</w:t>
      </w:r>
      <w:r w:rsidR="009306EC">
        <w:rPr>
          <w:rFonts w:ascii="Bookman Old Style" w:hAnsi="Bookman Old Style" w:cs="Arial"/>
          <w:spacing w:val="-3"/>
          <w:sz w:val="28"/>
          <w:szCs w:val="28"/>
        </w:rPr>
        <w:t>2</w:t>
      </w:r>
      <w:r>
        <w:rPr>
          <w:rFonts w:ascii="Bookman Old Style" w:hAnsi="Bookman Old Style" w:cs="Arial"/>
          <w:spacing w:val="-3"/>
          <w:sz w:val="28"/>
          <w:szCs w:val="28"/>
        </w:rPr>
        <w:t xml:space="preserve"> de la ley 906 de 2004 es una noma procesal de efectos sustanciales, </w:t>
      </w:r>
      <w:r w:rsidR="009306EC">
        <w:rPr>
          <w:rFonts w:ascii="Bookman Old Style" w:hAnsi="Bookman Old Style" w:cs="Arial"/>
          <w:spacing w:val="-3"/>
          <w:sz w:val="28"/>
          <w:szCs w:val="28"/>
        </w:rPr>
        <w:t xml:space="preserve">es imperativa su aplicación retroactiva por favorabilidad, </w:t>
      </w:r>
      <w:r w:rsidR="00036CCE">
        <w:rPr>
          <w:rFonts w:ascii="Bookman Old Style" w:hAnsi="Bookman Old Style" w:cs="Arial"/>
          <w:spacing w:val="-3"/>
          <w:sz w:val="28"/>
          <w:szCs w:val="28"/>
        </w:rPr>
        <w:t xml:space="preserve">de modo </w:t>
      </w:r>
      <w:r w:rsidR="009306EC">
        <w:rPr>
          <w:rFonts w:ascii="Bookman Old Style" w:hAnsi="Bookman Old Style" w:cs="Arial"/>
          <w:spacing w:val="-3"/>
          <w:sz w:val="28"/>
          <w:szCs w:val="28"/>
        </w:rPr>
        <w:t>que</w:t>
      </w:r>
      <w:r w:rsidR="00036CCE">
        <w:rPr>
          <w:rFonts w:ascii="Bookman Old Style" w:hAnsi="Bookman Old Style" w:cs="Arial"/>
          <w:spacing w:val="-3"/>
          <w:sz w:val="28"/>
          <w:szCs w:val="28"/>
        </w:rPr>
        <w:t xml:space="preserve"> al</w:t>
      </w:r>
      <w:r w:rsidR="009306EC">
        <w:rPr>
          <w:rFonts w:ascii="Bookman Old Style" w:hAnsi="Bookman Old Style" w:cs="Arial"/>
          <w:spacing w:val="-3"/>
          <w:sz w:val="28"/>
          <w:szCs w:val="28"/>
        </w:rPr>
        <w:t xml:space="preserve"> interrumpirse </w:t>
      </w:r>
      <w:r w:rsidR="00036CCE">
        <w:rPr>
          <w:rFonts w:ascii="Bookman Old Style" w:hAnsi="Bookman Old Style" w:cs="Arial"/>
          <w:spacing w:val="-3"/>
          <w:sz w:val="28"/>
          <w:szCs w:val="28"/>
        </w:rPr>
        <w:t>en esa fecha</w:t>
      </w:r>
      <w:r w:rsidR="009306EC">
        <w:rPr>
          <w:rFonts w:ascii="Bookman Old Style" w:hAnsi="Bookman Old Style" w:cs="Arial"/>
          <w:spacing w:val="-3"/>
          <w:sz w:val="28"/>
          <w:szCs w:val="28"/>
        </w:rPr>
        <w:t xml:space="preserve"> el término prescriptivo de la acción con la ejecutoria material de la acusación, por un lapso igual a la mitad del señalado en el artículo 83 del C.P. en concordancia con lo dispuesto en el artículo 86 ibídem, la acción penal prescri</w:t>
      </w:r>
      <w:r w:rsidR="00036CCE">
        <w:rPr>
          <w:rFonts w:ascii="Bookman Old Style" w:hAnsi="Bookman Old Style" w:cs="Arial"/>
          <w:spacing w:val="-3"/>
          <w:sz w:val="28"/>
          <w:szCs w:val="28"/>
        </w:rPr>
        <w:t>bía el</w:t>
      </w:r>
      <w:r w:rsidR="009306EC">
        <w:rPr>
          <w:rFonts w:ascii="Bookman Old Style" w:hAnsi="Bookman Old Style" w:cs="Arial"/>
          <w:spacing w:val="-3"/>
          <w:sz w:val="28"/>
          <w:szCs w:val="28"/>
        </w:rPr>
        <w:t xml:space="preserve"> </w:t>
      </w:r>
      <w:r w:rsidR="00036CCE">
        <w:rPr>
          <w:rFonts w:ascii="Bookman Old Style" w:hAnsi="Bookman Old Style" w:cs="Arial"/>
          <w:spacing w:val="-3"/>
          <w:sz w:val="28"/>
          <w:szCs w:val="28"/>
        </w:rPr>
        <w:t>15 de octubre de 2014</w:t>
      </w:r>
      <w:r w:rsidR="00DF4DC5">
        <w:rPr>
          <w:rFonts w:ascii="Bookman Old Style" w:hAnsi="Bookman Old Style" w:cs="Arial"/>
          <w:spacing w:val="-3"/>
          <w:sz w:val="28"/>
          <w:szCs w:val="28"/>
        </w:rPr>
        <w:t>, e</w:t>
      </w:r>
      <w:r w:rsidR="00036CCE">
        <w:rPr>
          <w:rFonts w:ascii="Bookman Old Style" w:hAnsi="Bookman Old Style" w:cs="Arial"/>
          <w:spacing w:val="-3"/>
          <w:sz w:val="28"/>
          <w:szCs w:val="28"/>
        </w:rPr>
        <w:t>n razón a que la pena máxima consagrada en el inciso 2º del artículo 376 del C.P. de la época era prisión de seis (6) años</w:t>
      </w:r>
      <w:r w:rsidR="00DF4DC5">
        <w:rPr>
          <w:rFonts w:ascii="Bookman Old Style" w:hAnsi="Bookman Old Style" w:cs="Arial"/>
          <w:spacing w:val="-3"/>
          <w:sz w:val="28"/>
          <w:szCs w:val="28"/>
        </w:rPr>
        <w:t>.</w:t>
      </w:r>
    </w:p>
    <w:p w:rsidR="00DF4DC5" w:rsidRDefault="00DF4DC5" w:rsidP="009917A8">
      <w:pPr>
        <w:spacing w:line="480" w:lineRule="auto"/>
        <w:ind w:firstLine="709"/>
        <w:jc w:val="both"/>
        <w:rPr>
          <w:rFonts w:ascii="Bookman Old Style" w:hAnsi="Bookman Old Style" w:cs="Arial"/>
          <w:spacing w:val="-3"/>
          <w:sz w:val="28"/>
          <w:szCs w:val="28"/>
        </w:rPr>
      </w:pPr>
    </w:p>
    <w:p w:rsidR="00DF4DC5" w:rsidRDefault="00DF4DC5"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Al desconocer el Tribunal la causal extintiva de la acción, incurre en error que vulnera las garantías de la acusada y amerita la intervención de la Corte, porque el fallo censurado está viciado de nulidad al proferirse cuando el Estado había perdido la facultad punitiva para continuar con la persecución penal.</w:t>
      </w:r>
    </w:p>
    <w:p w:rsidR="00DF4DC5" w:rsidRDefault="00DF4DC5" w:rsidP="004C7093">
      <w:pPr>
        <w:spacing w:line="360" w:lineRule="auto"/>
        <w:ind w:firstLine="709"/>
        <w:jc w:val="both"/>
        <w:rPr>
          <w:rFonts w:ascii="Bookman Old Style" w:hAnsi="Bookman Old Style" w:cs="Arial"/>
          <w:spacing w:val="-3"/>
          <w:sz w:val="28"/>
          <w:szCs w:val="28"/>
        </w:rPr>
      </w:pPr>
    </w:p>
    <w:p w:rsidR="004C7093" w:rsidRDefault="00DF4DC5" w:rsidP="00DF4DC5">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Pide casar la sentencia, declarando nula la de segundo grado y disponiendo la cesación del procedimiento adelantado a la acusada MARITZA RIVEROS TIRIA por prescripción de la acción penal.</w:t>
      </w:r>
    </w:p>
    <w:p w:rsidR="004C7093" w:rsidRDefault="004C7093" w:rsidP="004C7093">
      <w:pPr>
        <w:spacing w:line="360" w:lineRule="auto"/>
        <w:ind w:firstLine="709"/>
        <w:jc w:val="both"/>
        <w:rPr>
          <w:rFonts w:ascii="Bookman Old Style" w:hAnsi="Bookman Old Style" w:cs="Arial"/>
          <w:spacing w:val="-3"/>
          <w:sz w:val="28"/>
          <w:szCs w:val="28"/>
        </w:rPr>
      </w:pPr>
    </w:p>
    <w:p w:rsidR="004C7093" w:rsidRDefault="004C7093" w:rsidP="004C7093">
      <w:pPr>
        <w:spacing w:line="360" w:lineRule="auto"/>
        <w:jc w:val="center"/>
        <w:rPr>
          <w:rFonts w:ascii="Bookman Old Style" w:hAnsi="Bookman Old Style" w:cs="Arial"/>
          <w:spacing w:val="-3"/>
          <w:sz w:val="28"/>
          <w:szCs w:val="28"/>
        </w:rPr>
      </w:pPr>
      <w:r>
        <w:rPr>
          <w:rFonts w:ascii="Bookman Old Style" w:hAnsi="Bookman Old Style" w:cs="Arial"/>
          <w:spacing w:val="-3"/>
          <w:sz w:val="28"/>
          <w:szCs w:val="28"/>
        </w:rPr>
        <w:lastRenderedPageBreak/>
        <w:t>CONCEPTO DEL MINISTERIO PÚBLICO</w:t>
      </w:r>
    </w:p>
    <w:p w:rsidR="004C7093" w:rsidRDefault="004C7093" w:rsidP="004C7093">
      <w:pPr>
        <w:spacing w:line="360" w:lineRule="auto"/>
        <w:ind w:firstLine="709"/>
        <w:jc w:val="both"/>
        <w:rPr>
          <w:rFonts w:ascii="Bookman Old Style" w:hAnsi="Bookman Old Style" w:cs="Arial"/>
          <w:spacing w:val="-3"/>
          <w:sz w:val="28"/>
          <w:szCs w:val="28"/>
        </w:rPr>
      </w:pPr>
    </w:p>
    <w:p w:rsidR="003D3C8B" w:rsidRDefault="003D3C8B"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Para e</w:t>
      </w:r>
      <w:r w:rsidR="004C7093">
        <w:rPr>
          <w:rFonts w:ascii="Bookman Old Style" w:hAnsi="Bookman Old Style" w:cs="Arial"/>
          <w:spacing w:val="-3"/>
          <w:sz w:val="28"/>
          <w:szCs w:val="28"/>
        </w:rPr>
        <w:t xml:space="preserve">l Procurador Segundo Delegado </w:t>
      </w:r>
      <w:r>
        <w:rPr>
          <w:rFonts w:ascii="Bookman Old Style" w:hAnsi="Bookman Old Style" w:cs="Arial"/>
          <w:spacing w:val="-3"/>
          <w:sz w:val="28"/>
          <w:szCs w:val="28"/>
        </w:rPr>
        <w:t xml:space="preserve">la censura plantea la aplicación del artículo 292 de la ley 906 de 2004 en un proceso </w:t>
      </w:r>
      <w:proofErr w:type="spellStart"/>
      <w:r>
        <w:rPr>
          <w:rFonts w:ascii="Bookman Old Style" w:hAnsi="Bookman Old Style" w:cs="Arial"/>
          <w:spacing w:val="-3"/>
          <w:sz w:val="28"/>
          <w:szCs w:val="28"/>
        </w:rPr>
        <w:t>rituado</w:t>
      </w:r>
      <w:proofErr w:type="spellEnd"/>
      <w:r>
        <w:rPr>
          <w:rFonts w:ascii="Bookman Old Style" w:hAnsi="Bookman Old Style" w:cs="Arial"/>
          <w:spacing w:val="-3"/>
          <w:sz w:val="28"/>
          <w:szCs w:val="28"/>
        </w:rPr>
        <w:t xml:space="preserve"> por la ley 600 de 2000, con sustento en la favorabilidad.</w:t>
      </w:r>
    </w:p>
    <w:p w:rsidR="003D3C8B" w:rsidRDefault="003D3C8B" w:rsidP="004C7093">
      <w:pPr>
        <w:spacing w:line="360" w:lineRule="auto"/>
        <w:ind w:firstLine="709"/>
        <w:jc w:val="both"/>
        <w:rPr>
          <w:rFonts w:ascii="Bookman Old Style" w:hAnsi="Bookman Old Style" w:cs="Arial"/>
          <w:spacing w:val="-3"/>
          <w:sz w:val="28"/>
          <w:szCs w:val="28"/>
        </w:rPr>
      </w:pPr>
    </w:p>
    <w:p w:rsidR="00E90642" w:rsidRDefault="003D3C8B"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La condición para que las normas del sistema acusatorio  puedan aplicarse a una actuación regida por el procedimiento previsto en la ley 600 de 2000, </w:t>
      </w:r>
      <w:r w:rsidR="00BE5227">
        <w:rPr>
          <w:rFonts w:ascii="Bookman Old Style" w:hAnsi="Bookman Old Style" w:cs="Arial"/>
          <w:spacing w:val="-3"/>
          <w:sz w:val="28"/>
          <w:szCs w:val="28"/>
        </w:rPr>
        <w:t>exige</w:t>
      </w:r>
      <w:r>
        <w:rPr>
          <w:rFonts w:ascii="Bookman Old Style" w:hAnsi="Bookman Old Style" w:cs="Arial"/>
          <w:spacing w:val="-3"/>
          <w:sz w:val="28"/>
          <w:szCs w:val="28"/>
        </w:rPr>
        <w:t xml:space="preserve"> que no </w:t>
      </w:r>
      <w:r w:rsidR="00BE5227">
        <w:rPr>
          <w:rFonts w:ascii="Bookman Old Style" w:hAnsi="Bookman Old Style" w:cs="Arial"/>
          <w:spacing w:val="-3"/>
          <w:sz w:val="28"/>
          <w:szCs w:val="28"/>
        </w:rPr>
        <w:t>estén referidas</w:t>
      </w:r>
      <w:r>
        <w:rPr>
          <w:rFonts w:ascii="Bookman Old Style" w:hAnsi="Bookman Old Style" w:cs="Arial"/>
          <w:spacing w:val="-3"/>
          <w:sz w:val="28"/>
          <w:szCs w:val="28"/>
        </w:rPr>
        <w:t xml:space="preserve"> </w:t>
      </w:r>
      <w:r w:rsidR="00E90642">
        <w:rPr>
          <w:rFonts w:ascii="Bookman Old Style" w:hAnsi="Bookman Old Style" w:cs="Arial"/>
          <w:spacing w:val="-3"/>
          <w:sz w:val="28"/>
          <w:szCs w:val="28"/>
        </w:rPr>
        <w:t xml:space="preserve">a instituciones propias del nuevo modelo y los dos </w:t>
      </w:r>
      <w:r w:rsidR="00BE5227">
        <w:rPr>
          <w:rFonts w:ascii="Bookman Old Style" w:hAnsi="Bookman Old Style" w:cs="Arial"/>
          <w:spacing w:val="-3"/>
          <w:sz w:val="28"/>
          <w:szCs w:val="28"/>
        </w:rPr>
        <w:t>supuestos</w:t>
      </w:r>
      <w:r w:rsidR="00E90642">
        <w:rPr>
          <w:rFonts w:ascii="Bookman Old Style" w:hAnsi="Bookman Old Style" w:cs="Arial"/>
          <w:spacing w:val="-3"/>
          <w:sz w:val="28"/>
          <w:szCs w:val="28"/>
        </w:rPr>
        <w:t xml:space="preserve"> de hecho en ambos procedimientos sean idénticos, tesis apoyada en lo dicho por esta Corte en sentencia del 4 de mayo de 2005 radicación 19094, reiterada el 10 de octubre de 2012 bajo el número 39985.</w:t>
      </w:r>
    </w:p>
    <w:p w:rsidR="00210C97" w:rsidRDefault="00210C97" w:rsidP="004C7093">
      <w:pPr>
        <w:spacing w:line="360" w:lineRule="auto"/>
        <w:ind w:firstLine="709"/>
        <w:jc w:val="both"/>
        <w:rPr>
          <w:rFonts w:ascii="Bookman Old Style" w:hAnsi="Bookman Old Style" w:cs="Arial"/>
          <w:spacing w:val="-3"/>
          <w:sz w:val="28"/>
          <w:szCs w:val="28"/>
        </w:rPr>
      </w:pPr>
    </w:p>
    <w:p w:rsidR="00BE5227" w:rsidRDefault="00210C97"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Dichos procedimientos </w:t>
      </w:r>
      <w:r w:rsidR="00325998">
        <w:rPr>
          <w:rFonts w:ascii="Bookman Old Style" w:hAnsi="Bookman Old Style" w:cs="Arial"/>
          <w:spacing w:val="-3"/>
          <w:sz w:val="28"/>
          <w:szCs w:val="28"/>
        </w:rPr>
        <w:t>presentan</w:t>
      </w:r>
      <w:r>
        <w:rPr>
          <w:rFonts w:ascii="Bookman Old Style" w:hAnsi="Bookman Old Style" w:cs="Arial"/>
          <w:spacing w:val="-3"/>
          <w:sz w:val="28"/>
          <w:szCs w:val="28"/>
        </w:rPr>
        <w:t xml:space="preserve"> diferencias impeditivas para que el instituto del artículo 292 de la ley 906 de 2004 sea aplicable al de la ley 600 de 2000</w:t>
      </w:r>
      <w:r w:rsidR="00325998">
        <w:rPr>
          <w:rFonts w:ascii="Bookman Old Style" w:hAnsi="Bookman Old Style" w:cs="Arial"/>
          <w:spacing w:val="-3"/>
          <w:sz w:val="28"/>
          <w:szCs w:val="28"/>
        </w:rPr>
        <w:t>, tales como la oralidad e inmediatez de la prueba propio del primero en contraposición a la permanencia de la prueba que caracteriza al segundo</w:t>
      </w:r>
      <w:r w:rsidR="00BE5227">
        <w:rPr>
          <w:rFonts w:ascii="Bookman Old Style" w:hAnsi="Bookman Old Style" w:cs="Arial"/>
          <w:spacing w:val="-3"/>
          <w:sz w:val="28"/>
          <w:szCs w:val="28"/>
        </w:rPr>
        <w:t>.</w:t>
      </w:r>
    </w:p>
    <w:p w:rsidR="00BE5227" w:rsidRDefault="00BE5227" w:rsidP="004C7093">
      <w:pPr>
        <w:spacing w:line="360" w:lineRule="auto"/>
        <w:ind w:firstLine="709"/>
        <w:jc w:val="both"/>
        <w:rPr>
          <w:rFonts w:ascii="Bookman Old Style" w:hAnsi="Bookman Old Style" w:cs="Arial"/>
          <w:spacing w:val="-3"/>
          <w:sz w:val="28"/>
          <w:szCs w:val="28"/>
        </w:rPr>
      </w:pPr>
    </w:p>
    <w:p w:rsidR="007278F4" w:rsidRDefault="007278F4"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Así mismo el término </w:t>
      </w:r>
      <w:r w:rsidR="00D66C3C">
        <w:rPr>
          <w:rFonts w:ascii="Bookman Old Style" w:hAnsi="Bookman Old Style" w:cs="Arial"/>
          <w:spacing w:val="-3"/>
          <w:sz w:val="28"/>
          <w:szCs w:val="28"/>
        </w:rPr>
        <w:t>prescriptivo</w:t>
      </w:r>
      <w:r>
        <w:rPr>
          <w:rFonts w:ascii="Bookman Old Style" w:hAnsi="Bookman Old Style" w:cs="Arial"/>
          <w:spacing w:val="-3"/>
          <w:sz w:val="28"/>
          <w:szCs w:val="28"/>
        </w:rPr>
        <w:t xml:space="preserve"> es interrumpido por </w:t>
      </w:r>
      <w:r w:rsidR="00D66C3C">
        <w:rPr>
          <w:rFonts w:ascii="Bookman Old Style" w:hAnsi="Bookman Old Style" w:cs="Arial"/>
          <w:spacing w:val="-3"/>
          <w:sz w:val="28"/>
          <w:szCs w:val="28"/>
        </w:rPr>
        <w:t>actos procesales distintos: formulación de la imputación en el sistema acusatorio, resolución de acusación en la ley 600</w:t>
      </w:r>
      <w:r>
        <w:rPr>
          <w:rFonts w:ascii="Bookman Old Style" w:hAnsi="Bookman Old Style" w:cs="Arial"/>
          <w:spacing w:val="-3"/>
          <w:sz w:val="28"/>
          <w:szCs w:val="28"/>
        </w:rPr>
        <w:t>, los cuales en su</w:t>
      </w:r>
      <w:r w:rsidR="000F51C5">
        <w:rPr>
          <w:rFonts w:ascii="Bookman Old Style" w:hAnsi="Bookman Old Style" w:cs="Arial"/>
          <w:spacing w:val="-3"/>
          <w:sz w:val="28"/>
          <w:szCs w:val="28"/>
        </w:rPr>
        <w:t>s</w:t>
      </w:r>
      <w:r>
        <w:rPr>
          <w:rFonts w:ascii="Bookman Old Style" w:hAnsi="Bookman Old Style" w:cs="Arial"/>
          <w:spacing w:val="-3"/>
          <w:sz w:val="28"/>
          <w:szCs w:val="28"/>
        </w:rPr>
        <w:t xml:space="preserve"> efectos </w:t>
      </w:r>
      <w:r w:rsidR="000F51C5">
        <w:rPr>
          <w:rFonts w:ascii="Bookman Old Style" w:hAnsi="Bookman Old Style" w:cs="Arial"/>
          <w:spacing w:val="-3"/>
          <w:sz w:val="28"/>
          <w:szCs w:val="28"/>
        </w:rPr>
        <w:t>no son iguales</w:t>
      </w:r>
      <w:r>
        <w:rPr>
          <w:rFonts w:ascii="Bookman Old Style" w:hAnsi="Bookman Old Style" w:cs="Arial"/>
          <w:spacing w:val="-3"/>
          <w:sz w:val="28"/>
          <w:szCs w:val="28"/>
        </w:rPr>
        <w:t>.</w:t>
      </w:r>
    </w:p>
    <w:p w:rsidR="007278F4" w:rsidRDefault="007278F4" w:rsidP="004C7093">
      <w:pPr>
        <w:spacing w:line="360" w:lineRule="auto"/>
        <w:ind w:firstLine="709"/>
        <w:jc w:val="both"/>
        <w:rPr>
          <w:rFonts w:ascii="Bookman Old Style" w:hAnsi="Bookman Old Style" w:cs="Arial"/>
          <w:spacing w:val="-3"/>
          <w:sz w:val="28"/>
          <w:szCs w:val="28"/>
        </w:rPr>
      </w:pPr>
    </w:p>
    <w:p w:rsidR="00325998" w:rsidRDefault="007278F4"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En esas circunstancias conforme la prescripción se halla reglada en los artículos 83 y 86 de la ley 599 de 2000, </w:t>
      </w:r>
      <w:r>
        <w:rPr>
          <w:rFonts w:ascii="Bookman Old Style" w:hAnsi="Bookman Old Style" w:cs="Arial"/>
          <w:spacing w:val="-3"/>
          <w:sz w:val="28"/>
          <w:szCs w:val="28"/>
        </w:rPr>
        <w:lastRenderedPageBreak/>
        <w:t>en este asunto no operó en la etapa instructiva y</w:t>
      </w:r>
      <w:r w:rsidR="003D4640">
        <w:rPr>
          <w:rFonts w:ascii="Bookman Old Style" w:hAnsi="Bookman Old Style" w:cs="Arial"/>
          <w:spacing w:val="-3"/>
          <w:sz w:val="28"/>
          <w:szCs w:val="28"/>
        </w:rPr>
        <w:t xml:space="preserve"> tampoco en el juicio, en el cual</w:t>
      </w:r>
      <w:r>
        <w:rPr>
          <w:rFonts w:ascii="Bookman Old Style" w:hAnsi="Bookman Old Style" w:cs="Arial"/>
          <w:spacing w:val="-3"/>
          <w:sz w:val="28"/>
          <w:szCs w:val="28"/>
        </w:rPr>
        <w:t xml:space="preserve"> el término no puede en ningún caso ser inferior a cinco (5) años, pues si la acusación fue proferida el 27 de septiembre de 2011, la acción fenece e</w:t>
      </w:r>
      <w:r w:rsidR="000F51C5">
        <w:rPr>
          <w:rFonts w:ascii="Bookman Old Style" w:hAnsi="Bookman Old Style" w:cs="Arial"/>
          <w:spacing w:val="-3"/>
          <w:sz w:val="28"/>
          <w:szCs w:val="28"/>
        </w:rPr>
        <w:t>n el mes</w:t>
      </w:r>
      <w:r>
        <w:rPr>
          <w:rFonts w:ascii="Bookman Old Style" w:hAnsi="Bookman Old Style" w:cs="Arial"/>
          <w:spacing w:val="-3"/>
          <w:sz w:val="28"/>
          <w:szCs w:val="28"/>
        </w:rPr>
        <w:t xml:space="preserve"> de septiembre</w:t>
      </w:r>
      <w:r w:rsidR="000F51C5">
        <w:rPr>
          <w:rFonts w:ascii="Bookman Old Style" w:hAnsi="Bookman Old Style" w:cs="Arial"/>
          <w:spacing w:val="-3"/>
          <w:sz w:val="28"/>
          <w:szCs w:val="28"/>
        </w:rPr>
        <w:t xml:space="preserve"> de este año.</w:t>
      </w:r>
    </w:p>
    <w:p w:rsidR="000F51C5" w:rsidRDefault="000F51C5" w:rsidP="004C7093">
      <w:pPr>
        <w:spacing w:line="360" w:lineRule="auto"/>
        <w:ind w:firstLine="709"/>
        <w:jc w:val="both"/>
        <w:rPr>
          <w:rFonts w:ascii="Bookman Old Style" w:hAnsi="Bookman Old Style" w:cs="Arial"/>
          <w:spacing w:val="-3"/>
          <w:sz w:val="28"/>
          <w:szCs w:val="28"/>
        </w:rPr>
      </w:pPr>
    </w:p>
    <w:p w:rsidR="000F51C5" w:rsidRDefault="00545524"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 xml:space="preserve">El </w:t>
      </w:r>
      <w:proofErr w:type="spellStart"/>
      <w:r>
        <w:rPr>
          <w:rFonts w:ascii="Bookman Old Style" w:hAnsi="Bookman Old Style" w:cs="Arial"/>
          <w:spacing w:val="-3"/>
          <w:sz w:val="28"/>
          <w:szCs w:val="28"/>
        </w:rPr>
        <w:t>casacionista</w:t>
      </w:r>
      <w:proofErr w:type="spellEnd"/>
      <w:r>
        <w:rPr>
          <w:rFonts w:ascii="Bookman Old Style" w:hAnsi="Bookman Old Style" w:cs="Arial"/>
          <w:spacing w:val="-3"/>
          <w:sz w:val="28"/>
          <w:szCs w:val="28"/>
        </w:rPr>
        <w:t xml:space="preserve"> ajusta las normas a su conveniencia, desconociendo las aplicables al caso concreto, al igual que hace una sesgada apreciación del desarrollo jurisprudencial.</w:t>
      </w:r>
    </w:p>
    <w:p w:rsidR="00545524" w:rsidRDefault="00545524" w:rsidP="004C7093">
      <w:pPr>
        <w:spacing w:line="360" w:lineRule="auto"/>
        <w:ind w:firstLine="709"/>
        <w:jc w:val="both"/>
        <w:rPr>
          <w:rFonts w:ascii="Bookman Old Style" w:hAnsi="Bookman Old Style" w:cs="Arial"/>
          <w:spacing w:val="-3"/>
          <w:sz w:val="28"/>
          <w:szCs w:val="28"/>
        </w:rPr>
      </w:pPr>
    </w:p>
    <w:p w:rsidR="00545524" w:rsidRDefault="00545524" w:rsidP="004C7093">
      <w:pPr>
        <w:spacing w:line="360" w:lineRule="auto"/>
        <w:ind w:firstLine="709"/>
        <w:jc w:val="both"/>
        <w:rPr>
          <w:rFonts w:ascii="Bookman Old Style" w:hAnsi="Bookman Old Style" w:cs="Arial"/>
          <w:spacing w:val="-3"/>
          <w:sz w:val="28"/>
          <w:szCs w:val="28"/>
        </w:rPr>
      </w:pPr>
      <w:r>
        <w:rPr>
          <w:rFonts w:ascii="Bookman Old Style" w:hAnsi="Bookman Old Style" w:cs="Arial"/>
          <w:spacing w:val="-3"/>
          <w:sz w:val="28"/>
          <w:szCs w:val="28"/>
        </w:rPr>
        <w:t>Bajo las reflexiones anteriores el fallo no debe ser casado.</w:t>
      </w:r>
    </w:p>
    <w:p w:rsidR="004C7093" w:rsidRDefault="004C7093" w:rsidP="004C7093">
      <w:pPr>
        <w:spacing w:line="360" w:lineRule="auto"/>
        <w:ind w:firstLine="709"/>
        <w:jc w:val="both"/>
        <w:rPr>
          <w:rFonts w:ascii="Bookman Old Style" w:hAnsi="Bookman Old Style" w:cs="Arial"/>
          <w:spacing w:val="-3"/>
          <w:sz w:val="28"/>
          <w:szCs w:val="28"/>
        </w:rPr>
      </w:pPr>
    </w:p>
    <w:p w:rsidR="004C7093" w:rsidRDefault="004C7093" w:rsidP="004C7093">
      <w:pPr>
        <w:spacing w:line="360" w:lineRule="auto"/>
        <w:jc w:val="center"/>
        <w:rPr>
          <w:rFonts w:ascii="Bookman Old Style" w:hAnsi="Bookman Old Style" w:cs="Arial"/>
          <w:sz w:val="28"/>
          <w:szCs w:val="28"/>
        </w:rPr>
      </w:pPr>
      <w:r w:rsidRPr="00F172E7">
        <w:rPr>
          <w:rFonts w:ascii="Bookman Old Style" w:hAnsi="Bookman Old Style" w:cs="Arial"/>
          <w:sz w:val="28"/>
          <w:szCs w:val="28"/>
        </w:rPr>
        <w:t>CONSIDERACIONES</w:t>
      </w:r>
    </w:p>
    <w:p w:rsidR="00247D58" w:rsidRPr="009F0AE9" w:rsidRDefault="00247D58" w:rsidP="004C7093">
      <w:pPr>
        <w:pStyle w:val="Textoindependiente"/>
        <w:ind w:firstLine="708"/>
        <w:rPr>
          <w:rFonts w:ascii="Bookman Old Style" w:hAnsi="Bookman Old Style"/>
          <w:sz w:val="28"/>
          <w:szCs w:val="28"/>
          <w:shd w:val="clear" w:color="auto" w:fill="FFFFFF"/>
        </w:rPr>
      </w:pPr>
    </w:p>
    <w:p w:rsidR="007848C9" w:rsidRPr="009F0AE9" w:rsidRDefault="007848C9" w:rsidP="004C7093">
      <w:pPr>
        <w:pStyle w:val="Textoindependiente"/>
        <w:ind w:firstLine="708"/>
        <w:rPr>
          <w:rFonts w:ascii="Bookman Old Style" w:hAnsi="Bookman Old Style"/>
          <w:sz w:val="28"/>
          <w:szCs w:val="28"/>
          <w:shd w:val="clear" w:color="auto" w:fill="FFFFFF"/>
          <w:lang w:val="es-CO"/>
        </w:rPr>
      </w:pPr>
      <w:r w:rsidRPr="009F0AE9">
        <w:rPr>
          <w:rFonts w:ascii="Bookman Old Style" w:hAnsi="Bookman Old Style"/>
          <w:sz w:val="28"/>
          <w:szCs w:val="28"/>
          <w:shd w:val="clear" w:color="auto" w:fill="FFFFFF"/>
        </w:rPr>
        <w:t xml:space="preserve">El motivo aducido en casación </w:t>
      </w:r>
      <w:r w:rsidRPr="009F0AE9">
        <w:rPr>
          <w:rFonts w:ascii="Bookman Old Style" w:hAnsi="Bookman Old Style"/>
          <w:sz w:val="28"/>
          <w:szCs w:val="28"/>
          <w:shd w:val="clear" w:color="auto" w:fill="FFFFFF"/>
          <w:lang w:val="es-CO"/>
        </w:rPr>
        <w:t xml:space="preserve">con sustento en la causal 3ª del artículo 207 de la ley 600 de 2000, persigue la nulidad de la sentencia de segunda instancia por supuestamente haberse dictado </w:t>
      </w:r>
      <w:r w:rsidR="00F7106C" w:rsidRPr="009F0AE9">
        <w:rPr>
          <w:rFonts w:ascii="Bookman Old Style" w:hAnsi="Bookman Old Style"/>
          <w:sz w:val="28"/>
          <w:szCs w:val="28"/>
          <w:shd w:val="clear" w:color="auto" w:fill="FFFFFF"/>
          <w:lang w:val="es-CO"/>
        </w:rPr>
        <w:t xml:space="preserve">hallándose prescrita la </w:t>
      </w:r>
      <w:r w:rsidRPr="009F0AE9">
        <w:rPr>
          <w:rFonts w:ascii="Bookman Old Style" w:hAnsi="Bookman Old Style"/>
          <w:sz w:val="28"/>
          <w:szCs w:val="28"/>
          <w:shd w:val="clear" w:color="auto" w:fill="FFFFFF"/>
          <w:lang w:val="es-CO"/>
        </w:rPr>
        <w:t>acción penal.</w:t>
      </w:r>
    </w:p>
    <w:p w:rsidR="007848C9" w:rsidRPr="009F0AE9" w:rsidRDefault="007848C9" w:rsidP="004C7093">
      <w:pPr>
        <w:pStyle w:val="Textoindependiente"/>
        <w:ind w:firstLine="708"/>
        <w:rPr>
          <w:rFonts w:ascii="Bookman Old Style" w:hAnsi="Bookman Old Style"/>
          <w:sz w:val="28"/>
          <w:szCs w:val="28"/>
          <w:shd w:val="clear" w:color="auto" w:fill="FFFFFF"/>
          <w:lang w:val="es-CO"/>
        </w:rPr>
      </w:pPr>
    </w:p>
    <w:p w:rsidR="00F7106C" w:rsidRPr="009F0AE9" w:rsidRDefault="00F7106C" w:rsidP="004C7093">
      <w:pPr>
        <w:pStyle w:val="Textoindependiente"/>
        <w:ind w:firstLine="708"/>
        <w:rPr>
          <w:rFonts w:ascii="Bookman Old Style" w:hAnsi="Bookman Old Style"/>
          <w:sz w:val="28"/>
          <w:szCs w:val="28"/>
          <w:shd w:val="clear" w:color="auto" w:fill="FFFFFF"/>
          <w:lang w:val="es-CO"/>
        </w:rPr>
      </w:pPr>
      <w:r w:rsidRPr="009F0AE9">
        <w:rPr>
          <w:rFonts w:ascii="Bookman Old Style" w:hAnsi="Bookman Old Style"/>
          <w:sz w:val="28"/>
          <w:szCs w:val="28"/>
          <w:shd w:val="clear" w:color="auto" w:fill="FFFFFF"/>
          <w:lang w:val="es-CO"/>
        </w:rPr>
        <w:t>El fundamento de l</w:t>
      </w:r>
      <w:r w:rsidR="007848C9" w:rsidRPr="009F0AE9">
        <w:rPr>
          <w:rFonts w:ascii="Bookman Old Style" w:hAnsi="Bookman Old Style"/>
          <w:sz w:val="28"/>
          <w:szCs w:val="28"/>
          <w:shd w:val="clear" w:color="auto" w:fill="FFFFFF"/>
          <w:lang w:val="es-CO"/>
        </w:rPr>
        <w:t>a censura</w:t>
      </w:r>
      <w:r w:rsidRPr="009F0AE9">
        <w:rPr>
          <w:rFonts w:ascii="Bookman Old Style" w:hAnsi="Bookman Old Style"/>
          <w:sz w:val="28"/>
          <w:szCs w:val="28"/>
          <w:shd w:val="clear" w:color="auto" w:fill="FFFFFF"/>
          <w:lang w:val="es-CO"/>
        </w:rPr>
        <w:t xml:space="preserve"> lo constituye el artículo 292 de la ley 906 de 2004, en concordancia con los artículos 83 y 86 inciso primero del Código Penal, de acuerdo con los cuales producida la interrupción del término prescriptivo con la formulación de la imputación, este comenzará a correr de nuevo por un término igual a la mitad del señalado en el 83, sin que en ningún evento pueda ser inferior a tres (3) años.</w:t>
      </w:r>
    </w:p>
    <w:p w:rsidR="00F7106C" w:rsidRPr="009F0AE9" w:rsidRDefault="00F7106C" w:rsidP="004C7093">
      <w:pPr>
        <w:pStyle w:val="Textoindependiente"/>
        <w:ind w:firstLine="708"/>
        <w:rPr>
          <w:rFonts w:ascii="Bookman Old Style" w:hAnsi="Bookman Old Style"/>
          <w:sz w:val="28"/>
          <w:szCs w:val="28"/>
          <w:shd w:val="clear" w:color="auto" w:fill="FFFFFF"/>
          <w:lang w:val="es-CO"/>
        </w:rPr>
      </w:pPr>
    </w:p>
    <w:p w:rsidR="00F82B0A" w:rsidRDefault="00F82B0A" w:rsidP="004C7093">
      <w:pPr>
        <w:pStyle w:val="Textoindependiente"/>
        <w:ind w:firstLine="708"/>
        <w:rPr>
          <w:rFonts w:ascii="Bookman Old Style" w:hAnsi="Bookman Old Style"/>
          <w:sz w:val="28"/>
          <w:szCs w:val="28"/>
          <w:shd w:val="clear" w:color="auto" w:fill="FFFFFF"/>
          <w:lang w:val="es-CO"/>
        </w:rPr>
      </w:pPr>
      <w:r>
        <w:rPr>
          <w:rFonts w:ascii="Bookman Old Style" w:hAnsi="Bookman Old Style"/>
          <w:sz w:val="28"/>
          <w:szCs w:val="28"/>
          <w:shd w:val="clear" w:color="auto" w:fill="FFFFFF"/>
          <w:lang w:val="es-CO"/>
        </w:rPr>
        <w:lastRenderedPageBreak/>
        <w:t xml:space="preserve">El </w:t>
      </w:r>
      <w:proofErr w:type="spellStart"/>
      <w:r>
        <w:rPr>
          <w:rFonts w:ascii="Bookman Old Style" w:hAnsi="Bookman Old Style"/>
          <w:sz w:val="28"/>
          <w:szCs w:val="28"/>
          <w:shd w:val="clear" w:color="auto" w:fill="FFFFFF"/>
          <w:lang w:val="es-CO"/>
        </w:rPr>
        <w:t>casacionista</w:t>
      </w:r>
      <w:proofErr w:type="spellEnd"/>
      <w:r>
        <w:rPr>
          <w:rFonts w:ascii="Bookman Old Style" w:hAnsi="Bookman Old Style"/>
          <w:sz w:val="28"/>
          <w:szCs w:val="28"/>
          <w:shd w:val="clear" w:color="auto" w:fill="FFFFFF"/>
          <w:lang w:val="es-CO"/>
        </w:rPr>
        <w:t xml:space="preserve"> parte de</w:t>
      </w:r>
      <w:r w:rsidR="00F7106C" w:rsidRPr="009F0AE9">
        <w:rPr>
          <w:rFonts w:ascii="Bookman Old Style" w:hAnsi="Bookman Old Style"/>
          <w:sz w:val="28"/>
          <w:szCs w:val="28"/>
          <w:shd w:val="clear" w:color="auto" w:fill="FFFFFF"/>
          <w:lang w:val="es-CO"/>
        </w:rPr>
        <w:t xml:space="preserve"> una premisa equivocada</w:t>
      </w:r>
      <w:r>
        <w:rPr>
          <w:rFonts w:ascii="Bookman Old Style" w:hAnsi="Bookman Old Style"/>
          <w:sz w:val="28"/>
          <w:szCs w:val="28"/>
          <w:shd w:val="clear" w:color="auto" w:fill="FFFFFF"/>
          <w:lang w:val="es-CO"/>
        </w:rPr>
        <w:t>,</w:t>
      </w:r>
      <w:r w:rsidR="00F7106C" w:rsidRPr="009F0AE9">
        <w:rPr>
          <w:rFonts w:ascii="Bookman Old Style" w:hAnsi="Bookman Old Style"/>
          <w:sz w:val="28"/>
          <w:szCs w:val="28"/>
          <w:shd w:val="clear" w:color="auto" w:fill="FFFFFF"/>
          <w:lang w:val="es-CO"/>
        </w:rPr>
        <w:t xml:space="preserve"> al aplicar a un proceso </w:t>
      </w:r>
      <w:proofErr w:type="spellStart"/>
      <w:r w:rsidR="00F7106C" w:rsidRPr="009F0AE9">
        <w:rPr>
          <w:rFonts w:ascii="Bookman Old Style" w:hAnsi="Bookman Old Style"/>
          <w:sz w:val="28"/>
          <w:szCs w:val="28"/>
          <w:shd w:val="clear" w:color="auto" w:fill="FFFFFF"/>
          <w:lang w:val="es-CO"/>
        </w:rPr>
        <w:t>rituado</w:t>
      </w:r>
      <w:proofErr w:type="spellEnd"/>
      <w:r w:rsidR="00F7106C" w:rsidRPr="009F0AE9">
        <w:rPr>
          <w:rFonts w:ascii="Bookman Old Style" w:hAnsi="Bookman Old Style"/>
          <w:sz w:val="28"/>
          <w:szCs w:val="28"/>
          <w:shd w:val="clear" w:color="auto" w:fill="FFFFFF"/>
          <w:lang w:val="es-CO"/>
        </w:rPr>
        <w:t xml:space="preserve"> por el procedimiento consagrado en la ley 600 de 2000</w:t>
      </w:r>
      <w:r w:rsidR="00134D3B" w:rsidRPr="009F0AE9">
        <w:rPr>
          <w:rFonts w:ascii="Bookman Old Style" w:hAnsi="Bookman Old Style"/>
          <w:sz w:val="28"/>
          <w:szCs w:val="28"/>
          <w:shd w:val="clear" w:color="auto" w:fill="FFFFFF"/>
          <w:lang w:val="es-CO"/>
        </w:rPr>
        <w:t xml:space="preserve"> </w:t>
      </w:r>
      <w:r>
        <w:rPr>
          <w:rFonts w:ascii="Bookman Old Style" w:hAnsi="Bookman Old Style"/>
          <w:sz w:val="28"/>
          <w:szCs w:val="28"/>
          <w:shd w:val="clear" w:color="auto" w:fill="FFFFFF"/>
          <w:lang w:val="es-CO"/>
        </w:rPr>
        <w:t>la di</w:t>
      </w:r>
      <w:r w:rsidRPr="009F0AE9">
        <w:rPr>
          <w:rFonts w:ascii="Bookman Old Style" w:hAnsi="Bookman Old Style"/>
          <w:sz w:val="28"/>
          <w:szCs w:val="28"/>
          <w:shd w:val="clear" w:color="auto" w:fill="FFFFFF"/>
          <w:lang w:val="es-CO"/>
        </w:rPr>
        <w:t>sposici</w:t>
      </w:r>
      <w:r>
        <w:rPr>
          <w:rFonts w:ascii="Bookman Old Style" w:hAnsi="Bookman Old Style"/>
          <w:sz w:val="28"/>
          <w:szCs w:val="28"/>
          <w:shd w:val="clear" w:color="auto" w:fill="FFFFFF"/>
          <w:lang w:val="es-CO"/>
        </w:rPr>
        <w:t>ón</w:t>
      </w:r>
      <w:r w:rsidR="00134D3B" w:rsidRPr="009F0AE9">
        <w:rPr>
          <w:rFonts w:ascii="Bookman Old Style" w:hAnsi="Bookman Old Style"/>
          <w:sz w:val="28"/>
          <w:szCs w:val="28"/>
          <w:shd w:val="clear" w:color="auto" w:fill="FFFFFF"/>
          <w:lang w:val="es-CO"/>
        </w:rPr>
        <w:t xml:space="preserve"> de la ley 906 de 2004</w:t>
      </w:r>
      <w:r>
        <w:rPr>
          <w:rFonts w:ascii="Bookman Old Style" w:hAnsi="Bookman Old Style"/>
          <w:sz w:val="28"/>
          <w:szCs w:val="28"/>
          <w:shd w:val="clear" w:color="auto" w:fill="FFFFFF"/>
          <w:lang w:val="es-CO"/>
        </w:rPr>
        <w:t xml:space="preserve"> que establece la interrupción de la prescripción, sin tener en cuenta que ambas consagran sistemas distintos en la investigación y juzgamiento de los delitos.</w:t>
      </w:r>
    </w:p>
    <w:p w:rsidR="00F82B0A" w:rsidRDefault="00F82B0A" w:rsidP="004C7093">
      <w:pPr>
        <w:pStyle w:val="Textoindependiente"/>
        <w:ind w:firstLine="708"/>
        <w:rPr>
          <w:rFonts w:ascii="Bookman Old Style" w:hAnsi="Bookman Old Style"/>
          <w:sz w:val="28"/>
          <w:szCs w:val="28"/>
          <w:shd w:val="clear" w:color="auto" w:fill="FFFFFF"/>
          <w:lang w:val="es-CO"/>
        </w:rPr>
      </w:pPr>
    </w:p>
    <w:p w:rsidR="00205AC3" w:rsidRDefault="00F82B0A" w:rsidP="004C7093">
      <w:pPr>
        <w:pStyle w:val="Textoindependiente"/>
        <w:ind w:firstLine="708"/>
        <w:rPr>
          <w:rFonts w:ascii="Bookman Old Style" w:hAnsi="Bookman Old Style"/>
          <w:sz w:val="28"/>
          <w:szCs w:val="28"/>
          <w:shd w:val="clear" w:color="auto" w:fill="FFFFFF"/>
          <w:lang w:val="es-CO"/>
        </w:rPr>
      </w:pPr>
      <w:r>
        <w:rPr>
          <w:rFonts w:ascii="Bookman Old Style" w:hAnsi="Bookman Old Style"/>
          <w:sz w:val="28"/>
          <w:szCs w:val="28"/>
          <w:shd w:val="clear" w:color="auto" w:fill="FFFFFF"/>
          <w:lang w:val="es-CO"/>
        </w:rPr>
        <w:t xml:space="preserve">La Sala ante la coexistencia de los dos códigos, admite la posibilidad de aplicación de normas de uno u otro </w:t>
      </w:r>
      <w:r w:rsidR="00D808AD">
        <w:rPr>
          <w:rFonts w:ascii="Bookman Old Style" w:hAnsi="Bookman Old Style"/>
          <w:sz w:val="28"/>
          <w:szCs w:val="28"/>
          <w:shd w:val="clear" w:color="auto" w:fill="FFFFFF"/>
          <w:lang w:val="es-CO"/>
        </w:rPr>
        <w:t>frente a institutos jurídicos similares por principio de favorabilidad, sin afectar en su esencia o desnaturalizar las ritualidades propias e inherentes a cada sistema.</w:t>
      </w:r>
    </w:p>
    <w:p w:rsidR="00205AC3" w:rsidRDefault="00205AC3" w:rsidP="004C7093">
      <w:pPr>
        <w:pStyle w:val="Textoindependiente"/>
        <w:ind w:firstLine="708"/>
        <w:rPr>
          <w:rFonts w:ascii="Bookman Old Style" w:hAnsi="Bookman Old Style"/>
          <w:sz w:val="28"/>
          <w:szCs w:val="28"/>
          <w:shd w:val="clear" w:color="auto" w:fill="FFFFFF"/>
          <w:lang w:val="es-CO"/>
        </w:rPr>
      </w:pPr>
    </w:p>
    <w:p w:rsidR="00AF087F" w:rsidRDefault="00A031FA" w:rsidP="004C7093">
      <w:pPr>
        <w:pStyle w:val="Textoindependiente"/>
        <w:ind w:firstLine="708"/>
        <w:rPr>
          <w:rFonts w:ascii="Bookman Old Style" w:hAnsi="Bookman Old Style"/>
          <w:sz w:val="28"/>
          <w:szCs w:val="28"/>
          <w:shd w:val="clear" w:color="auto" w:fill="FFFFFF"/>
          <w:lang w:val="es-CO"/>
        </w:rPr>
      </w:pPr>
      <w:r>
        <w:rPr>
          <w:rFonts w:ascii="Bookman Old Style" w:hAnsi="Bookman Old Style"/>
          <w:sz w:val="28"/>
          <w:szCs w:val="28"/>
          <w:shd w:val="clear" w:color="auto" w:fill="FFFFFF"/>
          <w:lang w:val="es-CO"/>
        </w:rPr>
        <w:t>Sin embargo, e</w:t>
      </w:r>
      <w:r w:rsidR="00054387">
        <w:rPr>
          <w:rFonts w:ascii="Bookman Old Style" w:hAnsi="Bookman Old Style"/>
          <w:sz w:val="28"/>
          <w:szCs w:val="28"/>
          <w:shd w:val="clear" w:color="auto" w:fill="FFFFFF"/>
          <w:lang w:val="es-CO"/>
        </w:rPr>
        <w:t xml:space="preserve">n la ley 600 de 2000 </w:t>
      </w:r>
      <w:r w:rsidR="00730CD7">
        <w:rPr>
          <w:rFonts w:ascii="Bookman Old Style" w:hAnsi="Bookman Old Style"/>
          <w:sz w:val="28"/>
          <w:szCs w:val="28"/>
          <w:shd w:val="clear" w:color="auto" w:fill="FFFFFF"/>
          <w:lang w:val="es-CO"/>
        </w:rPr>
        <w:t>no existe disposición alguna que consagre la interrupción de la prescripción</w:t>
      </w:r>
      <w:r w:rsidR="007E18EC">
        <w:rPr>
          <w:rFonts w:ascii="Bookman Old Style" w:hAnsi="Bookman Old Style"/>
          <w:sz w:val="28"/>
          <w:szCs w:val="28"/>
          <w:shd w:val="clear" w:color="auto" w:fill="FFFFFF"/>
          <w:lang w:val="es-CO"/>
        </w:rPr>
        <w:t xml:space="preserve"> de la acción penal tal como lo establece el artículo 292 de la ley 906 de 2004</w:t>
      </w:r>
      <w:r w:rsidR="00AF087F">
        <w:rPr>
          <w:rFonts w:ascii="Bookman Old Style" w:hAnsi="Bookman Old Style"/>
          <w:sz w:val="28"/>
          <w:szCs w:val="28"/>
          <w:shd w:val="clear" w:color="auto" w:fill="FFFFFF"/>
          <w:lang w:val="es-CO"/>
        </w:rPr>
        <w:t>, ni tampoco dada la diferencia de sistemas prevé la audiencia de form</w:t>
      </w:r>
      <w:r w:rsidR="003D4640">
        <w:rPr>
          <w:rFonts w:ascii="Bookman Old Style" w:hAnsi="Bookman Old Style"/>
          <w:sz w:val="28"/>
          <w:szCs w:val="28"/>
          <w:shd w:val="clear" w:color="auto" w:fill="FFFFFF"/>
          <w:lang w:val="es-CO"/>
        </w:rPr>
        <w:t>ulación de imputación, en la cual</w:t>
      </w:r>
      <w:r w:rsidR="00AF087F">
        <w:rPr>
          <w:rFonts w:ascii="Bookman Old Style" w:hAnsi="Bookman Old Style"/>
          <w:sz w:val="28"/>
          <w:szCs w:val="28"/>
          <w:shd w:val="clear" w:color="auto" w:fill="FFFFFF"/>
          <w:lang w:val="es-CO"/>
        </w:rPr>
        <w:t xml:space="preserve"> la Fiscalía comunica al indiciado su calidad de imputado.</w:t>
      </w:r>
    </w:p>
    <w:p w:rsidR="007377EB" w:rsidRDefault="007377EB" w:rsidP="004C7093">
      <w:pPr>
        <w:pStyle w:val="Textoindependiente"/>
        <w:ind w:firstLine="708"/>
        <w:rPr>
          <w:rFonts w:ascii="Bookman Old Style" w:hAnsi="Bookman Old Style"/>
          <w:sz w:val="28"/>
          <w:szCs w:val="28"/>
          <w:shd w:val="clear" w:color="auto" w:fill="FFFFFF"/>
          <w:lang w:val="es-CO"/>
        </w:rPr>
      </w:pPr>
    </w:p>
    <w:p w:rsidR="000F4D7F" w:rsidRDefault="000F4D7F" w:rsidP="007377EB">
      <w:pPr>
        <w:spacing w:line="360" w:lineRule="auto"/>
        <w:ind w:firstLine="709"/>
        <w:jc w:val="both"/>
        <w:rPr>
          <w:rFonts w:ascii="Bookman Old Style" w:hAnsi="Bookman Old Style" w:cs="Arial"/>
          <w:sz w:val="28"/>
          <w:szCs w:val="28"/>
        </w:rPr>
      </w:pPr>
      <w:r>
        <w:rPr>
          <w:rFonts w:ascii="Bookman Old Style" w:hAnsi="Bookman Old Style" w:cs="Arial"/>
          <w:sz w:val="28"/>
          <w:szCs w:val="28"/>
        </w:rPr>
        <w:t>La última disposición citada que reproduce literalmente al</w:t>
      </w:r>
      <w:r w:rsidR="006219F7">
        <w:rPr>
          <w:rFonts w:ascii="Bookman Old Style" w:hAnsi="Bookman Old Style" w:cs="Arial"/>
          <w:sz w:val="28"/>
          <w:szCs w:val="28"/>
        </w:rPr>
        <w:t xml:space="preserve"> </w:t>
      </w:r>
      <w:r w:rsidR="006219F7" w:rsidRPr="00BA28FB">
        <w:rPr>
          <w:rFonts w:ascii="Bookman Old Style" w:hAnsi="Bookman Old Style" w:cs="Arial"/>
          <w:sz w:val="28"/>
          <w:szCs w:val="28"/>
        </w:rPr>
        <w:t xml:space="preserve">artículo 6 de la </w:t>
      </w:r>
      <w:r>
        <w:rPr>
          <w:rFonts w:ascii="Bookman Old Style" w:hAnsi="Bookman Old Style" w:cs="Arial"/>
          <w:sz w:val="28"/>
          <w:szCs w:val="28"/>
        </w:rPr>
        <w:t>l</w:t>
      </w:r>
      <w:r w:rsidR="006219F7" w:rsidRPr="00BA28FB">
        <w:rPr>
          <w:rFonts w:ascii="Bookman Old Style" w:hAnsi="Bookman Old Style" w:cs="Arial"/>
          <w:sz w:val="28"/>
          <w:szCs w:val="28"/>
        </w:rPr>
        <w:t>ey 890 de 2004</w:t>
      </w:r>
      <w:r w:rsidR="006219F7">
        <w:rPr>
          <w:rFonts w:ascii="Bookman Old Style" w:hAnsi="Bookman Old Style" w:cs="Arial"/>
          <w:sz w:val="28"/>
          <w:szCs w:val="28"/>
        </w:rPr>
        <w:t>, modifica</w:t>
      </w:r>
      <w:r>
        <w:rPr>
          <w:rFonts w:ascii="Bookman Old Style" w:hAnsi="Bookman Old Style" w:cs="Arial"/>
          <w:sz w:val="28"/>
          <w:szCs w:val="28"/>
        </w:rPr>
        <w:t>torio de</w:t>
      </w:r>
      <w:r w:rsidR="007377EB" w:rsidRPr="00BA28FB">
        <w:rPr>
          <w:rFonts w:ascii="Bookman Old Style" w:hAnsi="Bookman Old Style" w:cs="Arial"/>
          <w:sz w:val="28"/>
          <w:szCs w:val="28"/>
        </w:rPr>
        <w:t>l</w:t>
      </w:r>
      <w:r w:rsidR="007377EB">
        <w:rPr>
          <w:rFonts w:ascii="Bookman Old Style" w:hAnsi="Bookman Old Style" w:cs="Arial"/>
          <w:sz w:val="28"/>
          <w:szCs w:val="28"/>
        </w:rPr>
        <w:t xml:space="preserve"> inciso 1º del</w:t>
      </w:r>
      <w:r w:rsidR="007377EB" w:rsidRPr="00BA28FB">
        <w:rPr>
          <w:rFonts w:ascii="Bookman Old Style" w:hAnsi="Bookman Old Style" w:cs="Arial"/>
          <w:sz w:val="28"/>
          <w:szCs w:val="28"/>
        </w:rPr>
        <w:t xml:space="preserve"> </w:t>
      </w:r>
      <w:r w:rsidR="007377EB">
        <w:rPr>
          <w:rFonts w:ascii="Bookman Old Style" w:hAnsi="Bookman Old Style" w:cs="Arial"/>
          <w:sz w:val="28"/>
          <w:szCs w:val="28"/>
        </w:rPr>
        <w:t>artículo 86 del Código Penal,</w:t>
      </w:r>
      <w:r>
        <w:rPr>
          <w:rFonts w:ascii="Bookman Old Style" w:hAnsi="Bookman Old Style" w:cs="Arial"/>
          <w:sz w:val="28"/>
          <w:szCs w:val="28"/>
        </w:rPr>
        <w:t xml:space="preserve"> dispone</w:t>
      </w:r>
      <w:r w:rsidRPr="00BA28FB">
        <w:rPr>
          <w:rFonts w:ascii="Bookman Old Style" w:hAnsi="Bookman Old Style" w:cs="Arial"/>
          <w:sz w:val="28"/>
          <w:szCs w:val="28"/>
        </w:rPr>
        <w:t xml:space="preserve"> que la </w:t>
      </w:r>
      <w:r>
        <w:rPr>
          <w:rFonts w:ascii="Bookman Old Style" w:hAnsi="Bookman Old Style" w:cs="Arial"/>
          <w:sz w:val="28"/>
          <w:szCs w:val="28"/>
        </w:rPr>
        <w:t xml:space="preserve">formulación de la imputación interrumpe la </w:t>
      </w:r>
      <w:r w:rsidRPr="00BA28FB">
        <w:rPr>
          <w:rFonts w:ascii="Bookman Old Style" w:hAnsi="Bookman Old Style" w:cs="Arial"/>
          <w:sz w:val="28"/>
          <w:szCs w:val="28"/>
        </w:rPr>
        <w:t>prescripción de la acción penal</w:t>
      </w:r>
      <w:r>
        <w:rPr>
          <w:rFonts w:ascii="Bookman Old Style" w:hAnsi="Bookman Old Style" w:cs="Arial"/>
          <w:sz w:val="28"/>
          <w:szCs w:val="28"/>
        </w:rPr>
        <w:t>.</w:t>
      </w:r>
    </w:p>
    <w:p w:rsidR="000F4D7F" w:rsidRDefault="000F4D7F" w:rsidP="007377EB">
      <w:pPr>
        <w:spacing w:line="360" w:lineRule="auto"/>
        <w:ind w:firstLine="709"/>
        <w:jc w:val="both"/>
        <w:rPr>
          <w:rFonts w:ascii="Bookman Old Style" w:hAnsi="Bookman Old Style" w:cs="Arial"/>
          <w:sz w:val="28"/>
          <w:szCs w:val="28"/>
        </w:rPr>
      </w:pPr>
    </w:p>
    <w:p w:rsidR="00F10BE2" w:rsidRDefault="00643627" w:rsidP="007377EB">
      <w:pPr>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 Así</w:t>
      </w:r>
      <w:r w:rsidR="000F4D7F">
        <w:rPr>
          <w:rFonts w:ascii="Bookman Old Style" w:hAnsi="Bookman Old Style" w:cs="Arial"/>
          <w:sz w:val="28"/>
          <w:szCs w:val="28"/>
        </w:rPr>
        <w:t xml:space="preserve"> podría </w:t>
      </w:r>
      <w:r>
        <w:rPr>
          <w:rFonts w:ascii="Bookman Old Style" w:hAnsi="Bookman Old Style" w:cs="Arial"/>
          <w:sz w:val="28"/>
          <w:szCs w:val="28"/>
        </w:rPr>
        <w:t>concluirse</w:t>
      </w:r>
      <w:r w:rsidR="000F4D7F">
        <w:rPr>
          <w:rFonts w:ascii="Bookman Old Style" w:hAnsi="Bookman Old Style" w:cs="Arial"/>
          <w:sz w:val="28"/>
          <w:szCs w:val="28"/>
        </w:rPr>
        <w:t xml:space="preserve"> que</w:t>
      </w:r>
      <w:r>
        <w:rPr>
          <w:rFonts w:ascii="Bookman Old Style" w:hAnsi="Bookman Old Style" w:cs="Arial"/>
          <w:sz w:val="28"/>
          <w:szCs w:val="28"/>
        </w:rPr>
        <w:t xml:space="preserve"> la modificación legal </w:t>
      </w:r>
      <w:r w:rsidR="00F10BE2">
        <w:rPr>
          <w:rFonts w:ascii="Bookman Old Style" w:hAnsi="Bookman Old Style" w:cs="Arial"/>
          <w:sz w:val="28"/>
          <w:szCs w:val="28"/>
        </w:rPr>
        <w:t xml:space="preserve">hace equivalente la formulación de la imputación a la resolución </w:t>
      </w:r>
      <w:r w:rsidR="00F10BE2">
        <w:rPr>
          <w:rFonts w:ascii="Bookman Old Style" w:hAnsi="Bookman Old Style" w:cs="Arial"/>
          <w:sz w:val="28"/>
          <w:szCs w:val="28"/>
        </w:rPr>
        <w:lastRenderedPageBreak/>
        <w:t xml:space="preserve">de acusación, como pareciera sugerirlo el </w:t>
      </w:r>
      <w:proofErr w:type="spellStart"/>
      <w:r w:rsidR="00641F82">
        <w:rPr>
          <w:rFonts w:ascii="Bookman Old Style" w:hAnsi="Bookman Old Style" w:cs="Arial"/>
          <w:sz w:val="28"/>
          <w:szCs w:val="28"/>
        </w:rPr>
        <w:t>casacionista</w:t>
      </w:r>
      <w:proofErr w:type="spellEnd"/>
      <w:r w:rsidR="00F10BE2">
        <w:rPr>
          <w:rFonts w:ascii="Bookman Old Style" w:hAnsi="Bookman Old Style" w:cs="Arial"/>
          <w:sz w:val="28"/>
          <w:szCs w:val="28"/>
        </w:rPr>
        <w:t>, o suprime</w:t>
      </w:r>
      <w:r w:rsidR="000F4D7F">
        <w:rPr>
          <w:rFonts w:ascii="Bookman Old Style" w:hAnsi="Bookman Old Style" w:cs="Arial"/>
          <w:sz w:val="28"/>
          <w:szCs w:val="28"/>
        </w:rPr>
        <w:t xml:space="preserve"> la interrupción del término prescrip</w:t>
      </w:r>
      <w:r w:rsidR="00F10BE2">
        <w:rPr>
          <w:rFonts w:ascii="Bookman Old Style" w:hAnsi="Bookman Old Style" w:cs="Arial"/>
          <w:sz w:val="28"/>
          <w:szCs w:val="28"/>
        </w:rPr>
        <w:t>tivo de la acción penal</w:t>
      </w:r>
      <w:r w:rsidRPr="00643627">
        <w:rPr>
          <w:rFonts w:ascii="Bookman Old Style" w:hAnsi="Bookman Old Style" w:cs="Arial"/>
          <w:sz w:val="28"/>
          <w:szCs w:val="28"/>
        </w:rPr>
        <w:t xml:space="preserve"> </w:t>
      </w:r>
      <w:r>
        <w:rPr>
          <w:rFonts w:ascii="Bookman Old Style" w:hAnsi="Bookman Old Style" w:cs="Arial"/>
          <w:sz w:val="28"/>
          <w:szCs w:val="28"/>
        </w:rPr>
        <w:t>para los juicios tramitados por la ley 600</w:t>
      </w:r>
      <w:r w:rsidR="00F10BE2">
        <w:rPr>
          <w:rFonts w:ascii="Bookman Old Style" w:hAnsi="Bookman Old Style" w:cs="Arial"/>
          <w:sz w:val="28"/>
          <w:szCs w:val="28"/>
        </w:rPr>
        <w:t xml:space="preserve"> de 2000.</w:t>
      </w:r>
    </w:p>
    <w:p w:rsidR="00641F82" w:rsidRDefault="00641F82" w:rsidP="007377EB">
      <w:pPr>
        <w:spacing w:line="360" w:lineRule="auto"/>
        <w:ind w:firstLine="709"/>
        <w:jc w:val="both"/>
        <w:rPr>
          <w:rFonts w:ascii="Bookman Old Style" w:hAnsi="Bookman Old Style" w:cs="Arial"/>
          <w:sz w:val="28"/>
          <w:szCs w:val="28"/>
        </w:rPr>
      </w:pPr>
    </w:p>
    <w:p w:rsidR="002070AC" w:rsidRDefault="00641F82" w:rsidP="007377EB">
      <w:pPr>
        <w:spacing w:line="360" w:lineRule="auto"/>
        <w:ind w:firstLine="709"/>
        <w:jc w:val="both"/>
        <w:rPr>
          <w:rFonts w:ascii="Bookman Old Style" w:hAnsi="Bookman Old Style" w:cs="Arial"/>
          <w:sz w:val="28"/>
          <w:szCs w:val="28"/>
        </w:rPr>
      </w:pPr>
      <w:r>
        <w:rPr>
          <w:rFonts w:ascii="Bookman Old Style" w:hAnsi="Bookman Old Style" w:cs="Arial"/>
          <w:sz w:val="28"/>
          <w:szCs w:val="28"/>
        </w:rPr>
        <w:t>Ninguna de esas hipótesis se ajusta a la reforma ni es admisible frente al ordenamiento jurídico. Primero, se reitera</w:t>
      </w:r>
      <w:r w:rsidR="003D4640">
        <w:rPr>
          <w:rFonts w:ascii="Bookman Old Style" w:hAnsi="Bookman Old Style" w:cs="Arial"/>
          <w:sz w:val="28"/>
          <w:szCs w:val="28"/>
        </w:rPr>
        <w:t>,</w:t>
      </w:r>
      <w:r>
        <w:rPr>
          <w:rFonts w:ascii="Bookman Old Style" w:hAnsi="Bookman Old Style" w:cs="Arial"/>
          <w:sz w:val="28"/>
          <w:szCs w:val="28"/>
        </w:rPr>
        <w:t xml:space="preserve"> la diferencia entre el procedimiento escrito y el oral contenido en las leyes citadas, enseña que mientras la formulación de la imputación es presupuesto </w:t>
      </w:r>
      <w:r w:rsidR="006F7B73">
        <w:rPr>
          <w:rFonts w:ascii="Bookman Old Style" w:hAnsi="Bookman Old Style" w:cs="Arial"/>
          <w:sz w:val="28"/>
          <w:szCs w:val="28"/>
        </w:rPr>
        <w:t xml:space="preserve">procesal para la presentación de la acusación, la resolución de acusación ejecutoriada marca el inicio del juicio; aquella es un acto de comunicación a una persona de su calidad de imputado, </w:t>
      </w:r>
      <w:r w:rsidR="001147F9">
        <w:rPr>
          <w:rFonts w:ascii="Bookman Old Style" w:hAnsi="Bookman Old Style" w:cs="Arial"/>
          <w:sz w:val="28"/>
          <w:szCs w:val="28"/>
        </w:rPr>
        <w:t>y</w:t>
      </w:r>
      <w:r w:rsidR="006F7B73">
        <w:rPr>
          <w:rFonts w:ascii="Bookman Old Style" w:hAnsi="Bookman Old Style" w:cs="Arial"/>
          <w:sz w:val="28"/>
          <w:szCs w:val="28"/>
        </w:rPr>
        <w:t xml:space="preserve"> </w:t>
      </w:r>
      <w:proofErr w:type="spellStart"/>
      <w:r w:rsidR="006F7B73">
        <w:rPr>
          <w:rFonts w:ascii="Bookman Old Style" w:hAnsi="Bookman Old Style" w:cs="Arial"/>
          <w:sz w:val="28"/>
          <w:szCs w:val="28"/>
        </w:rPr>
        <w:t>esta</w:t>
      </w:r>
      <w:proofErr w:type="spellEnd"/>
      <w:r w:rsidR="006F7B73">
        <w:rPr>
          <w:rFonts w:ascii="Bookman Old Style" w:hAnsi="Bookman Old Style" w:cs="Arial"/>
          <w:sz w:val="28"/>
          <w:szCs w:val="28"/>
        </w:rPr>
        <w:t xml:space="preserve"> un acto material en el que la fiscalía da por demostrada la ocurrencia del hecho y la existencia de prueba indicativa de la responsabilidad del procesado.</w:t>
      </w:r>
    </w:p>
    <w:p w:rsidR="001273CE" w:rsidRDefault="001273CE" w:rsidP="007377EB">
      <w:pPr>
        <w:spacing w:line="360" w:lineRule="auto"/>
        <w:ind w:firstLine="709"/>
        <w:jc w:val="both"/>
        <w:rPr>
          <w:rFonts w:ascii="Bookman Old Style" w:hAnsi="Bookman Old Style" w:cs="Arial"/>
          <w:sz w:val="28"/>
          <w:szCs w:val="28"/>
        </w:rPr>
      </w:pPr>
    </w:p>
    <w:p w:rsidR="00901D6E" w:rsidRDefault="001273CE" w:rsidP="001273CE">
      <w:pPr>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Segundo, su vigencia diferida al 1º de enero de 2005, fecha a partir de la cual entra a regir gradualmente la ley 906 de 2004, muestra que su aplicación </w:t>
      </w:r>
      <w:r w:rsidR="00901D6E">
        <w:rPr>
          <w:rFonts w:ascii="Bookman Old Style" w:hAnsi="Bookman Old Style" w:cs="Arial"/>
          <w:sz w:val="28"/>
          <w:szCs w:val="28"/>
        </w:rPr>
        <w:t>prevista</w:t>
      </w:r>
      <w:r>
        <w:rPr>
          <w:rFonts w:ascii="Bookman Old Style" w:hAnsi="Bookman Old Style" w:cs="Arial"/>
          <w:sz w:val="28"/>
          <w:szCs w:val="28"/>
        </w:rPr>
        <w:t xml:space="preserve"> únicamente </w:t>
      </w:r>
      <w:r w:rsidR="00901D6E">
        <w:rPr>
          <w:rFonts w:ascii="Bookman Old Style" w:hAnsi="Bookman Old Style" w:cs="Arial"/>
          <w:sz w:val="28"/>
          <w:szCs w:val="28"/>
        </w:rPr>
        <w:t>para las actuaciones tramitadas bajo la sistemática de esta normatividad, no derogó el artículo 86 original del Código Penal sino que lo ajustó para hacer posible la coexistencia de los dos estatutos procesales penales.</w:t>
      </w:r>
    </w:p>
    <w:p w:rsidR="00723E81" w:rsidRDefault="00723E81" w:rsidP="001273CE">
      <w:pPr>
        <w:spacing w:line="360" w:lineRule="auto"/>
        <w:ind w:firstLine="709"/>
        <w:jc w:val="both"/>
        <w:rPr>
          <w:rFonts w:ascii="Bookman Old Style" w:hAnsi="Bookman Old Style" w:cs="Arial"/>
          <w:sz w:val="28"/>
          <w:szCs w:val="28"/>
        </w:rPr>
      </w:pPr>
    </w:p>
    <w:p w:rsidR="00E21C9A" w:rsidRPr="003D332B" w:rsidRDefault="00723E81" w:rsidP="00E21C9A">
      <w:pPr>
        <w:spacing w:line="360" w:lineRule="auto"/>
        <w:ind w:firstLine="709"/>
        <w:jc w:val="both"/>
        <w:rPr>
          <w:rFonts w:ascii="Bookman Old Style" w:hAnsi="Bookman Old Style" w:cs="Arial"/>
          <w:sz w:val="28"/>
          <w:szCs w:val="28"/>
        </w:rPr>
      </w:pPr>
      <w:r>
        <w:rPr>
          <w:rFonts w:ascii="Bookman Old Style" w:hAnsi="Bookman Old Style" w:cs="Arial"/>
          <w:sz w:val="28"/>
          <w:szCs w:val="28"/>
        </w:rPr>
        <w:t>Tercero</w:t>
      </w:r>
      <w:r w:rsidR="00E21C9A">
        <w:rPr>
          <w:rFonts w:ascii="Bookman Old Style" w:hAnsi="Bookman Old Style" w:cs="Arial"/>
          <w:sz w:val="28"/>
          <w:szCs w:val="28"/>
        </w:rPr>
        <w:t>, lo anterior explica el señalamiento de</w:t>
      </w:r>
      <w:r w:rsidR="00E21C9A" w:rsidRPr="003D332B">
        <w:rPr>
          <w:rFonts w:ascii="Bookman Old Style" w:hAnsi="Bookman Old Style" w:cs="Arial"/>
          <w:sz w:val="28"/>
          <w:szCs w:val="28"/>
        </w:rPr>
        <w:t xml:space="preserve"> </w:t>
      </w:r>
      <w:r w:rsidR="00E21C9A">
        <w:rPr>
          <w:rFonts w:ascii="Bookman Old Style" w:hAnsi="Bookman Old Style" w:cs="Arial"/>
          <w:sz w:val="28"/>
          <w:szCs w:val="28"/>
        </w:rPr>
        <w:t>períodos</w:t>
      </w:r>
      <w:r w:rsidR="00E21C9A" w:rsidRPr="003D332B">
        <w:rPr>
          <w:rFonts w:ascii="Bookman Old Style" w:hAnsi="Bookman Old Style" w:cs="Arial"/>
          <w:sz w:val="28"/>
          <w:szCs w:val="28"/>
        </w:rPr>
        <w:t xml:space="preserve"> </w:t>
      </w:r>
      <w:r w:rsidR="00E21C9A">
        <w:rPr>
          <w:rFonts w:ascii="Bookman Old Style" w:hAnsi="Bookman Old Style" w:cs="Arial"/>
          <w:sz w:val="28"/>
          <w:szCs w:val="28"/>
        </w:rPr>
        <w:t xml:space="preserve">mínimos </w:t>
      </w:r>
      <w:r w:rsidR="00E21C9A" w:rsidRPr="003D332B">
        <w:rPr>
          <w:rFonts w:ascii="Bookman Old Style" w:hAnsi="Bookman Old Style" w:cs="Arial"/>
          <w:sz w:val="28"/>
          <w:szCs w:val="28"/>
        </w:rPr>
        <w:t>distintos para la prescripción de la acción penal</w:t>
      </w:r>
      <w:r w:rsidR="00276005">
        <w:rPr>
          <w:rFonts w:ascii="Bookman Old Style" w:hAnsi="Bookman Old Style" w:cs="Arial"/>
          <w:sz w:val="28"/>
          <w:szCs w:val="28"/>
        </w:rPr>
        <w:t>;</w:t>
      </w:r>
      <w:r w:rsidR="00E21C9A" w:rsidRPr="003D332B">
        <w:rPr>
          <w:rFonts w:ascii="Bookman Old Style" w:hAnsi="Bookman Old Style" w:cs="Arial"/>
          <w:sz w:val="28"/>
          <w:szCs w:val="28"/>
        </w:rPr>
        <w:t xml:space="preserve"> la </w:t>
      </w:r>
      <w:r w:rsidR="00E21C9A">
        <w:rPr>
          <w:rFonts w:ascii="Bookman Old Style" w:hAnsi="Bookman Old Style" w:cs="Arial"/>
          <w:sz w:val="28"/>
          <w:szCs w:val="28"/>
        </w:rPr>
        <w:t>ley 906 de 2004</w:t>
      </w:r>
      <w:r w:rsidR="00E21C9A" w:rsidRPr="003D332B">
        <w:rPr>
          <w:rFonts w:ascii="Bookman Old Style" w:hAnsi="Bookman Old Style" w:cs="Arial"/>
          <w:sz w:val="28"/>
          <w:szCs w:val="28"/>
        </w:rPr>
        <w:t xml:space="preserve"> dispone que interrumpido el término éste comenzará a correr de nuevo por un lapso</w:t>
      </w:r>
      <w:r w:rsidR="00E21C9A">
        <w:rPr>
          <w:rFonts w:ascii="Bookman Old Style" w:hAnsi="Bookman Old Style" w:cs="Arial"/>
          <w:sz w:val="28"/>
          <w:szCs w:val="28"/>
        </w:rPr>
        <w:t xml:space="preserve"> igual a la mitad </w:t>
      </w:r>
      <w:r w:rsidR="00E21C9A">
        <w:rPr>
          <w:rFonts w:ascii="Bookman Old Style" w:hAnsi="Bookman Old Style" w:cs="Arial"/>
          <w:sz w:val="28"/>
          <w:szCs w:val="28"/>
        </w:rPr>
        <w:lastRenderedPageBreak/>
        <w:t>del previsto en el artículo 83 de la ley 599 de 2000</w:t>
      </w:r>
      <w:r w:rsidR="00E21C9A" w:rsidRPr="003D332B">
        <w:rPr>
          <w:rFonts w:ascii="Bookman Old Style" w:hAnsi="Bookman Old Style" w:cs="Arial"/>
          <w:sz w:val="28"/>
          <w:szCs w:val="28"/>
        </w:rPr>
        <w:t xml:space="preserve"> que</w:t>
      </w:r>
      <w:r w:rsidR="002C7408">
        <w:rPr>
          <w:rFonts w:ascii="Bookman Old Style" w:hAnsi="Bookman Old Style" w:cs="Arial"/>
          <w:sz w:val="28"/>
          <w:szCs w:val="28"/>
        </w:rPr>
        <w:t xml:space="preserve"> en ningún caso</w:t>
      </w:r>
      <w:r w:rsidR="00E21C9A" w:rsidRPr="003D332B">
        <w:rPr>
          <w:rFonts w:ascii="Bookman Old Style" w:hAnsi="Bookman Old Style" w:cs="Arial"/>
          <w:sz w:val="28"/>
          <w:szCs w:val="28"/>
        </w:rPr>
        <w:t xml:space="preserve"> “</w:t>
      </w:r>
      <w:r w:rsidR="002C7408">
        <w:rPr>
          <w:rFonts w:ascii="Bookman Old Style" w:hAnsi="Bookman Old Style" w:cs="Arial"/>
          <w:i/>
          <w:sz w:val="28"/>
          <w:szCs w:val="28"/>
        </w:rPr>
        <w:t>p</w:t>
      </w:r>
      <w:r w:rsidR="00E21C9A" w:rsidRPr="003D332B">
        <w:rPr>
          <w:rFonts w:ascii="Bookman Old Style" w:hAnsi="Bookman Old Style" w:cs="Arial"/>
          <w:i/>
          <w:sz w:val="28"/>
          <w:szCs w:val="28"/>
        </w:rPr>
        <w:t>odrá ser inferior a tres (3) años”</w:t>
      </w:r>
      <w:r w:rsidR="00E21C9A" w:rsidRPr="003D332B">
        <w:rPr>
          <w:rFonts w:ascii="Bookman Old Style" w:hAnsi="Bookman Old Style" w:cs="Arial"/>
          <w:sz w:val="28"/>
          <w:szCs w:val="28"/>
        </w:rPr>
        <w:t xml:space="preserve">, </w:t>
      </w:r>
      <w:r w:rsidR="00276005">
        <w:rPr>
          <w:rFonts w:ascii="Bookman Old Style" w:hAnsi="Bookman Old Style" w:cs="Arial"/>
          <w:sz w:val="28"/>
          <w:szCs w:val="28"/>
        </w:rPr>
        <w:t xml:space="preserve">y </w:t>
      </w:r>
      <w:r w:rsidR="00E21C9A">
        <w:rPr>
          <w:rFonts w:ascii="Bookman Old Style" w:hAnsi="Bookman Old Style" w:cs="Arial"/>
          <w:sz w:val="28"/>
          <w:szCs w:val="28"/>
        </w:rPr>
        <w:t>el Código Penal</w:t>
      </w:r>
      <w:r w:rsidR="00E21C9A" w:rsidRPr="003D332B">
        <w:rPr>
          <w:rFonts w:ascii="Bookman Old Style" w:hAnsi="Bookman Old Style" w:cs="Arial"/>
          <w:sz w:val="28"/>
          <w:szCs w:val="28"/>
        </w:rPr>
        <w:t xml:space="preserve"> </w:t>
      </w:r>
      <w:r w:rsidR="00E21C9A">
        <w:rPr>
          <w:rFonts w:ascii="Bookman Old Style" w:hAnsi="Bookman Old Style" w:cs="Arial"/>
          <w:sz w:val="28"/>
          <w:szCs w:val="28"/>
        </w:rPr>
        <w:t>establece</w:t>
      </w:r>
      <w:r w:rsidR="00E21C9A" w:rsidRPr="003D332B">
        <w:rPr>
          <w:rFonts w:ascii="Bookman Old Style" w:hAnsi="Bookman Old Style" w:cs="Arial"/>
          <w:sz w:val="28"/>
          <w:szCs w:val="28"/>
        </w:rPr>
        <w:t xml:space="preserve"> que </w:t>
      </w:r>
      <w:r w:rsidR="00E21C9A">
        <w:rPr>
          <w:rFonts w:ascii="Bookman Old Style" w:hAnsi="Bookman Old Style" w:cs="Arial"/>
          <w:sz w:val="28"/>
          <w:szCs w:val="28"/>
        </w:rPr>
        <w:t>dicho período</w:t>
      </w:r>
      <w:r w:rsidR="00E21C9A" w:rsidRPr="003D332B">
        <w:rPr>
          <w:rFonts w:ascii="Bookman Old Style" w:hAnsi="Bookman Old Style" w:cs="Arial"/>
          <w:sz w:val="28"/>
          <w:szCs w:val="28"/>
        </w:rPr>
        <w:t xml:space="preserve"> </w:t>
      </w:r>
      <w:r w:rsidR="00E21C9A" w:rsidRPr="003D332B">
        <w:rPr>
          <w:rFonts w:ascii="Bookman Old Style" w:hAnsi="Bookman Old Style" w:cs="Arial"/>
          <w:i/>
          <w:sz w:val="28"/>
          <w:szCs w:val="28"/>
        </w:rPr>
        <w:t>“no podrá ser inferior a cinco (5) años, ni superior a diez (10)”</w:t>
      </w:r>
      <w:r w:rsidR="00E21C9A" w:rsidRPr="003D332B">
        <w:rPr>
          <w:rFonts w:ascii="Bookman Old Style" w:hAnsi="Bookman Old Style" w:cs="Arial"/>
          <w:sz w:val="28"/>
          <w:szCs w:val="28"/>
        </w:rPr>
        <w:t>.</w:t>
      </w:r>
    </w:p>
    <w:p w:rsidR="00723E81" w:rsidRDefault="00723E81" w:rsidP="001273CE">
      <w:pPr>
        <w:spacing w:line="360" w:lineRule="auto"/>
        <w:ind w:firstLine="709"/>
        <w:jc w:val="both"/>
        <w:rPr>
          <w:rFonts w:ascii="Bookman Old Style" w:hAnsi="Bookman Old Style" w:cs="Arial"/>
          <w:sz w:val="28"/>
          <w:szCs w:val="28"/>
        </w:rPr>
      </w:pPr>
    </w:p>
    <w:p w:rsidR="002C7408" w:rsidRDefault="00E21C9A"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Así las cosas</w:t>
      </w:r>
      <w:r w:rsidR="002C7408">
        <w:rPr>
          <w:rFonts w:ascii="Bookman Old Style" w:hAnsi="Bookman Old Style" w:cs="Arial"/>
          <w:sz w:val="28"/>
          <w:szCs w:val="28"/>
        </w:rPr>
        <w:t>, en el procedimiento de la ley 600 la prescripción se interrumpe con la resolución de acusación ejecutoriada; en el de la ley 906 con la formulación de la imputación, acto que no es equivalente ni equiparable a aquella. De ahí que el</w:t>
      </w:r>
      <w:r w:rsidR="002C7408" w:rsidRPr="003D332B">
        <w:rPr>
          <w:rFonts w:ascii="Bookman Old Style" w:hAnsi="Bookman Old Style" w:cs="Arial"/>
          <w:sz w:val="28"/>
          <w:szCs w:val="28"/>
        </w:rPr>
        <w:t xml:space="preserve"> plazo </w:t>
      </w:r>
      <w:r w:rsidR="002C7408">
        <w:rPr>
          <w:rFonts w:ascii="Bookman Old Style" w:hAnsi="Bookman Old Style" w:cs="Arial"/>
          <w:sz w:val="28"/>
          <w:szCs w:val="28"/>
        </w:rPr>
        <w:t>consagrado</w:t>
      </w:r>
      <w:r w:rsidR="002C7408" w:rsidRPr="003D332B">
        <w:rPr>
          <w:rFonts w:ascii="Bookman Old Style" w:hAnsi="Bookman Old Style" w:cs="Arial"/>
          <w:sz w:val="28"/>
          <w:szCs w:val="28"/>
        </w:rPr>
        <w:t xml:space="preserve"> en el inciso 2º del artículo 86 del Código Penal, se apli</w:t>
      </w:r>
      <w:r w:rsidR="00276005">
        <w:rPr>
          <w:rFonts w:ascii="Bookman Old Style" w:hAnsi="Bookman Old Style" w:cs="Arial"/>
          <w:sz w:val="28"/>
          <w:szCs w:val="28"/>
        </w:rPr>
        <w:t>que</w:t>
      </w:r>
      <w:r w:rsidR="002C7408" w:rsidRPr="003D332B">
        <w:rPr>
          <w:rFonts w:ascii="Bookman Old Style" w:hAnsi="Bookman Old Style" w:cs="Arial"/>
          <w:sz w:val="28"/>
          <w:szCs w:val="28"/>
        </w:rPr>
        <w:t xml:space="preserve"> </w:t>
      </w:r>
      <w:r w:rsidR="002C7408">
        <w:rPr>
          <w:rFonts w:ascii="Bookman Old Style" w:hAnsi="Bookman Old Style" w:cs="Arial"/>
          <w:sz w:val="28"/>
          <w:szCs w:val="28"/>
        </w:rPr>
        <w:t xml:space="preserve">únicamente </w:t>
      </w:r>
      <w:r w:rsidR="002C7408" w:rsidRPr="003D332B">
        <w:rPr>
          <w:rFonts w:ascii="Bookman Old Style" w:hAnsi="Bookman Old Style" w:cs="Arial"/>
          <w:sz w:val="28"/>
          <w:szCs w:val="28"/>
        </w:rPr>
        <w:t>a los procesos adelantados bajo las r</w:t>
      </w:r>
      <w:r w:rsidR="002C7408">
        <w:rPr>
          <w:rFonts w:ascii="Bookman Old Style" w:hAnsi="Bookman Old Style" w:cs="Arial"/>
          <w:sz w:val="28"/>
          <w:szCs w:val="28"/>
        </w:rPr>
        <w:t>itualidades</w:t>
      </w:r>
      <w:r w:rsidR="002C7408" w:rsidRPr="003D332B">
        <w:rPr>
          <w:rFonts w:ascii="Bookman Old Style" w:hAnsi="Bookman Old Style" w:cs="Arial"/>
          <w:sz w:val="28"/>
          <w:szCs w:val="28"/>
        </w:rPr>
        <w:t xml:space="preserve"> de la </w:t>
      </w:r>
      <w:r w:rsidR="002C7408">
        <w:rPr>
          <w:rFonts w:ascii="Bookman Old Style" w:hAnsi="Bookman Old Style" w:cs="Arial"/>
          <w:sz w:val="28"/>
          <w:szCs w:val="28"/>
        </w:rPr>
        <w:t xml:space="preserve">primera y para los tramitados </w:t>
      </w:r>
      <w:r w:rsidR="002C7408" w:rsidRPr="003D332B">
        <w:rPr>
          <w:rFonts w:ascii="Bookman Old Style" w:hAnsi="Bookman Old Style" w:cs="Arial"/>
          <w:sz w:val="28"/>
          <w:szCs w:val="28"/>
        </w:rPr>
        <w:t>por el sistema acusatorio</w:t>
      </w:r>
      <w:r w:rsidR="002C7408">
        <w:rPr>
          <w:rFonts w:ascii="Bookman Old Style" w:hAnsi="Bookman Old Style" w:cs="Arial"/>
          <w:sz w:val="28"/>
          <w:szCs w:val="28"/>
        </w:rPr>
        <w:t xml:space="preserve"> </w:t>
      </w:r>
      <w:r w:rsidR="002C7408" w:rsidRPr="003D332B">
        <w:rPr>
          <w:rFonts w:ascii="Bookman Old Style" w:hAnsi="Bookman Old Style" w:cs="Arial"/>
          <w:sz w:val="28"/>
          <w:szCs w:val="28"/>
        </w:rPr>
        <w:t>ri</w:t>
      </w:r>
      <w:r w:rsidR="00276005">
        <w:rPr>
          <w:rFonts w:ascii="Bookman Old Style" w:hAnsi="Bookman Old Style" w:cs="Arial"/>
          <w:sz w:val="28"/>
          <w:szCs w:val="28"/>
        </w:rPr>
        <w:t>ja</w:t>
      </w:r>
      <w:r w:rsidR="002C7408" w:rsidRPr="003D332B">
        <w:rPr>
          <w:rFonts w:ascii="Bookman Old Style" w:hAnsi="Bookman Old Style" w:cs="Arial"/>
          <w:sz w:val="28"/>
          <w:szCs w:val="28"/>
        </w:rPr>
        <w:t xml:space="preserve"> </w:t>
      </w:r>
      <w:r w:rsidR="002C7408">
        <w:rPr>
          <w:rFonts w:ascii="Bookman Old Style" w:hAnsi="Bookman Old Style" w:cs="Arial"/>
          <w:sz w:val="28"/>
          <w:szCs w:val="28"/>
        </w:rPr>
        <w:t xml:space="preserve">lo previsto en </w:t>
      </w:r>
      <w:r w:rsidR="002C7408" w:rsidRPr="003D332B">
        <w:rPr>
          <w:rFonts w:ascii="Bookman Old Style" w:hAnsi="Bookman Old Style" w:cs="Arial"/>
          <w:sz w:val="28"/>
          <w:szCs w:val="28"/>
        </w:rPr>
        <w:t>la ley 906 de 2004.</w:t>
      </w:r>
    </w:p>
    <w:p w:rsidR="001147F9" w:rsidRDefault="001147F9" w:rsidP="002C7408">
      <w:pPr>
        <w:spacing w:line="360" w:lineRule="auto"/>
        <w:ind w:firstLine="709"/>
        <w:jc w:val="both"/>
        <w:rPr>
          <w:rFonts w:ascii="Bookman Old Style" w:hAnsi="Bookman Old Style" w:cs="Arial"/>
          <w:sz w:val="28"/>
          <w:szCs w:val="28"/>
        </w:rPr>
      </w:pPr>
    </w:p>
    <w:p w:rsidR="00EF4489" w:rsidRPr="000403DF" w:rsidRDefault="0090087E" w:rsidP="000403DF">
      <w:pPr>
        <w:spacing w:line="360" w:lineRule="auto"/>
        <w:ind w:firstLine="709"/>
        <w:jc w:val="both"/>
        <w:rPr>
          <w:rFonts w:ascii="Bookman Old Style" w:hAnsi="Bookman Old Style" w:cs="Arial"/>
          <w:sz w:val="28"/>
          <w:szCs w:val="28"/>
        </w:rPr>
      </w:pPr>
      <w:r>
        <w:rPr>
          <w:rFonts w:ascii="Bookman Old Style" w:hAnsi="Bookman Old Style" w:cs="Arial"/>
          <w:sz w:val="28"/>
          <w:szCs w:val="28"/>
        </w:rPr>
        <w:t>L</w:t>
      </w:r>
      <w:r w:rsidR="000E07C4">
        <w:rPr>
          <w:rFonts w:ascii="Bookman Old Style" w:hAnsi="Bookman Old Style" w:cs="Arial"/>
          <w:sz w:val="28"/>
          <w:szCs w:val="28"/>
        </w:rPr>
        <w:t>a prescripción alegada se</w:t>
      </w:r>
      <w:r>
        <w:rPr>
          <w:rFonts w:ascii="Bookman Old Style" w:hAnsi="Bookman Old Style" w:cs="Arial"/>
          <w:sz w:val="28"/>
          <w:szCs w:val="28"/>
        </w:rPr>
        <w:t>r</w:t>
      </w:r>
      <w:r>
        <w:rPr>
          <w:rFonts w:ascii="Bookman Old Style" w:hAnsi="Bookman Old Style" w:cs="Arial"/>
          <w:sz w:val="28"/>
          <w:szCs w:val="28"/>
          <w:lang w:val="es-CO"/>
        </w:rPr>
        <w:t>á</w:t>
      </w:r>
      <w:r w:rsidR="000E07C4">
        <w:rPr>
          <w:rFonts w:ascii="Bookman Old Style" w:hAnsi="Bookman Old Style" w:cs="Arial"/>
          <w:sz w:val="28"/>
          <w:szCs w:val="28"/>
        </w:rPr>
        <w:t xml:space="preserve"> examina</w:t>
      </w:r>
      <w:r>
        <w:rPr>
          <w:rFonts w:ascii="Bookman Old Style" w:hAnsi="Bookman Old Style" w:cs="Arial"/>
          <w:sz w:val="28"/>
          <w:szCs w:val="28"/>
        </w:rPr>
        <w:t>da</w:t>
      </w:r>
      <w:r w:rsidR="000E07C4">
        <w:rPr>
          <w:rFonts w:ascii="Bookman Old Style" w:hAnsi="Bookman Old Style" w:cs="Arial"/>
          <w:sz w:val="28"/>
          <w:szCs w:val="28"/>
        </w:rPr>
        <w:t xml:space="preserve"> a la luz de lo estab</w:t>
      </w:r>
      <w:r w:rsidR="000E07C4" w:rsidRPr="000403DF">
        <w:rPr>
          <w:rFonts w:ascii="Bookman Old Style" w:hAnsi="Bookman Old Style" w:cs="Arial"/>
          <w:sz w:val="28"/>
          <w:szCs w:val="28"/>
        </w:rPr>
        <w:t xml:space="preserve">lecido en el Código </w:t>
      </w:r>
      <w:r w:rsidR="00F4403E" w:rsidRPr="000403DF">
        <w:rPr>
          <w:rFonts w:ascii="Bookman Old Style" w:hAnsi="Bookman Old Style" w:cs="Arial"/>
          <w:sz w:val="28"/>
          <w:szCs w:val="28"/>
        </w:rPr>
        <w:t>P</w:t>
      </w:r>
      <w:r w:rsidR="000E07C4" w:rsidRPr="000403DF">
        <w:rPr>
          <w:rFonts w:ascii="Bookman Old Style" w:hAnsi="Bookman Old Style" w:cs="Arial"/>
          <w:sz w:val="28"/>
          <w:szCs w:val="28"/>
        </w:rPr>
        <w:t>enal</w:t>
      </w:r>
      <w:r w:rsidR="00F4403E" w:rsidRPr="000403DF">
        <w:rPr>
          <w:rFonts w:ascii="Bookman Old Style" w:hAnsi="Bookman Old Style" w:cs="Arial"/>
          <w:sz w:val="28"/>
          <w:szCs w:val="28"/>
        </w:rPr>
        <w:t>,</w:t>
      </w:r>
      <w:r w:rsidRPr="000403DF">
        <w:rPr>
          <w:rFonts w:ascii="Bookman Old Style" w:hAnsi="Bookman Old Style" w:cs="Arial"/>
          <w:sz w:val="28"/>
          <w:szCs w:val="28"/>
        </w:rPr>
        <w:t xml:space="preserve"> normatividad aplicable a los asuntos tramitados bajo el régimen de la ley 600 de 2000</w:t>
      </w:r>
      <w:r w:rsidR="00EF4489" w:rsidRPr="000403DF">
        <w:rPr>
          <w:rFonts w:ascii="Bookman Old Style" w:hAnsi="Bookman Old Style" w:cs="Arial"/>
          <w:sz w:val="28"/>
          <w:szCs w:val="28"/>
        </w:rPr>
        <w:t>.</w:t>
      </w:r>
    </w:p>
    <w:p w:rsidR="00F247B5" w:rsidRPr="000403DF" w:rsidRDefault="00F247B5" w:rsidP="000403DF">
      <w:pPr>
        <w:spacing w:line="360" w:lineRule="auto"/>
        <w:ind w:firstLine="709"/>
        <w:jc w:val="both"/>
        <w:rPr>
          <w:rFonts w:ascii="Bookman Old Style" w:hAnsi="Bookman Old Style" w:cs="Arial"/>
          <w:sz w:val="28"/>
          <w:szCs w:val="28"/>
        </w:rPr>
      </w:pPr>
    </w:p>
    <w:p w:rsidR="00F247B5" w:rsidRPr="000403DF" w:rsidRDefault="00F247B5" w:rsidP="000403DF">
      <w:pPr>
        <w:pStyle w:val="Textoindependiente"/>
        <w:ind w:firstLine="709"/>
        <w:rPr>
          <w:rStyle w:val="apple-converted-space"/>
          <w:rFonts w:ascii="Bookman Old Style" w:hAnsi="Bookman Old Style"/>
          <w:sz w:val="28"/>
          <w:szCs w:val="28"/>
          <w:shd w:val="clear" w:color="auto" w:fill="FFFFFF"/>
        </w:rPr>
      </w:pPr>
      <w:r w:rsidRPr="000403DF">
        <w:rPr>
          <w:rFonts w:ascii="Bookman Old Style" w:hAnsi="Bookman Old Style"/>
          <w:sz w:val="28"/>
          <w:szCs w:val="28"/>
          <w:shd w:val="clear" w:color="auto" w:fill="FFFFFF"/>
        </w:rPr>
        <w:t xml:space="preserve">Baste con señalar lo dicho por la Sala en auto del </w:t>
      </w:r>
      <w:r w:rsidR="000403DF">
        <w:rPr>
          <w:rFonts w:ascii="Bookman Old Style" w:hAnsi="Bookman Old Style"/>
          <w:sz w:val="28"/>
          <w:szCs w:val="28"/>
          <w:shd w:val="clear" w:color="auto" w:fill="FFFFFF"/>
        </w:rPr>
        <w:t>20</w:t>
      </w:r>
      <w:r w:rsidRPr="000403DF">
        <w:rPr>
          <w:rFonts w:ascii="Bookman Old Style" w:hAnsi="Bookman Old Style"/>
          <w:sz w:val="28"/>
          <w:szCs w:val="28"/>
          <w:shd w:val="clear" w:color="auto" w:fill="FFFFFF"/>
        </w:rPr>
        <w:t xml:space="preserve"> de octubre de 2014,</w:t>
      </w:r>
      <w:r w:rsidRPr="000403DF">
        <w:rPr>
          <w:rStyle w:val="apple-converted-space"/>
          <w:rFonts w:ascii="Bookman Old Style" w:hAnsi="Bookman Old Style"/>
          <w:sz w:val="28"/>
          <w:szCs w:val="28"/>
          <w:shd w:val="clear" w:color="auto" w:fill="FFFFFF"/>
        </w:rPr>
        <w:t xml:space="preserve"> radicación 36078, cuando al referirse al tema objeto del recurso extraordinario expresó.</w:t>
      </w:r>
    </w:p>
    <w:p w:rsidR="00F247B5" w:rsidRPr="000403DF" w:rsidRDefault="00F247B5" w:rsidP="000403DF">
      <w:pPr>
        <w:pStyle w:val="Textoindependiente"/>
        <w:ind w:firstLine="709"/>
        <w:rPr>
          <w:rStyle w:val="apple-converted-space"/>
          <w:rFonts w:ascii="Bookman Old Style" w:hAnsi="Bookman Old Style"/>
          <w:sz w:val="28"/>
          <w:szCs w:val="28"/>
          <w:shd w:val="clear" w:color="auto" w:fill="FFFFFF"/>
        </w:rPr>
      </w:pPr>
    </w:p>
    <w:p w:rsidR="000403DF" w:rsidRDefault="00F247B5" w:rsidP="000403DF">
      <w:pPr>
        <w:pStyle w:val="Textoindependiente"/>
        <w:ind w:firstLine="709"/>
        <w:rPr>
          <w:rFonts w:ascii="Bookman Old Style" w:hAnsi="Bookman Old Style"/>
          <w:i/>
          <w:sz w:val="28"/>
          <w:szCs w:val="28"/>
          <w:shd w:val="clear" w:color="auto" w:fill="FFFFFF"/>
        </w:rPr>
      </w:pPr>
      <w:r w:rsidRPr="000403DF">
        <w:rPr>
          <w:rFonts w:ascii="Bookman Old Style" w:hAnsi="Bookman Old Style"/>
          <w:sz w:val="28"/>
          <w:szCs w:val="28"/>
          <w:shd w:val="clear" w:color="auto" w:fill="FFFFFF"/>
        </w:rPr>
        <w:t xml:space="preserve"> </w:t>
      </w:r>
      <w:r w:rsidRPr="000403DF">
        <w:rPr>
          <w:rFonts w:ascii="Bookman Old Style" w:hAnsi="Bookman Old Style"/>
          <w:i/>
          <w:sz w:val="28"/>
          <w:szCs w:val="28"/>
          <w:shd w:val="clear" w:color="auto" w:fill="FFFFFF"/>
        </w:rPr>
        <w:t xml:space="preserve">“Los precedentes de la Corte, entre ellos los citados y analizados extensamente en la providencia impugnada, han establecido con suficiente claridad que el término de prescripción de la acción penal de 3 años, previsto en </w:t>
      </w:r>
      <w:r w:rsidRPr="000403DF">
        <w:rPr>
          <w:rFonts w:ascii="Bookman Old Style" w:hAnsi="Bookman Old Style"/>
          <w:i/>
          <w:sz w:val="28"/>
          <w:szCs w:val="28"/>
        </w:rPr>
        <w:t>la Ley 906 de 2004</w:t>
      </w:r>
      <w:r w:rsidRPr="000403DF">
        <w:rPr>
          <w:rFonts w:ascii="Bookman Old Style" w:hAnsi="Bookman Old Style"/>
          <w:i/>
          <w:sz w:val="28"/>
          <w:szCs w:val="28"/>
          <w:shd w:val="clear" w:color="auto" w:fill="FFFFFF"/>
        </w:rPr>
        <w:t xml:space="preserve">, para los delitos que se tramitan conforme con el sistema acusatorio, no se puede aplicar a los </w:t>
      </w:r>
      <w:r w:rsidRPr="000403DF">
        <w:rPr>
          <w:rFonts w:ascii="Bookman Old Style" w:hAnsi="Bookman Old Style"/>
          <w:i/>
          <w:sz w:val="28"/>
          <w:szCs w:val="28"/>
          <w:shd w:val="clear" w:color="auto" w:fill="FFFFFF"/>
        </w:rPr>
        <w:lastRenderedPageBreak/>
        <w:t xml:space="preserve">casos que se iniciaron y </w:t>
      </w:r>
      <w:proofErr w:type="spellStart"/>
      <w:r w:rsidRPr="000403DF">
        <w:rPr>
          <w:rFonts w:ascii="Bookman Old Style" w:hAnsi="Bookman Old Style"/>
          <w:i/>
          <w:sz w:val="28"/>
          <w:szCs w:val="28"/>
          <w:shd w:val="clear" w:color="auto" w:fill="FFFFFF"/>
        </w:rPr>
        <w:t>rituaron</w:t>
      </w:r>
      <w:proofErr w:type="spellEnd"/>
      <w:r w:rsidRPr="000403DF">
        <w:rPr>
          <w:rFonts w:ascii="Bookman Old Style" w:hAnsi="Bookman Old Style"/>
          <w:i/>
          <w:sz w:val="28"/>
          <w:szCs w:val="28"/>
          <w:shd w:val="clear" w:color="auto" w:fill="FFFFFF"/>
        </w:rPr>
        <w:t xml:space="preserve"> válidamente según </w:t>
      </w:r>
      <w:r w:rsidRPr="000403DF">
        <w:rPr>
          <w:rFonts w:ascii="Bookman Old Style" w:hAnsi="Bookman Old Style"/>
          <w:i/>
          <w:sz w:val="28"/>
          <w:szCs w:val="28"/>
        </w:rPr>
        <w:t>la Ley 600 de</w:t>
      </w:r>
      <w:r w:rsidRPr="000403DF">
        <w:rPr>
          <w:rFonts w:ascii="Bookman Old Style" w:hAnsi="Bookman Old Style"/>
          <w:i/>
          <w:sz w:val="28"/>
          <w:szCs w:val="28"/>
          <w:shd w:val="clear" w:color="auto" w:fill="FFFFFF"/>
        </w:rPr>
        <w:t xml:space="preserve"> 2000.</w:t>
      </w:r>
    </w:p>
    <w:p w:rsidR="000403DF" w:rsidRDefault="000403DF" w:rsidP="000403DF">
      <w:pPr>
        <w:pStyle w:val="Textoindependiente"/>
        <w:ind w:firstLine="709"/>
        <w:rPr>
          <w:rFonts w:ascii="Bookman Old Style" w:hAnsi="Bookman Old Style"/>
          <w:i/>
          <w:sz w:val="28"/>
          <w:szCs w:val="28"/>
          <w:shd w:val="clear" w:color="auto" w:fill="FFFFFF"/>
        </w:rPr>
      </w:pPr>
    </w:p>
    <w:p w:rsidR="00F247B5" w:rsidRPr="000403DF" w:rsidRDefault="00F247B5" w:rsidP="000403DF">
      <w:pPr>
        <w:pStyle w:val="Textoindependiente"/>
        <w:ind w:firstLine="709"/>
        <w:rPr>
          <w:rStyle w:val="apple-converted-space"/>
          <w:rFonts w:ascii="Bookman Old Style" w:hAnsi="Bookman Old Style"/>
          <w:sz w:val="28"/>
          <w:szCs w:val="28"/>
          <w:shd w:val="clear" w:color="auto" w:fill="FFFFFF"/>
        </w:rPr>
      </w:pPr>
      <w:r w:rsidRPr="000403DF">
        <w:rPr>
          <w:rFonts w:ascii="Bookman Old Style" w:hAnsi="Bookman Old Style"/>
          <w:i/>
          <w:sz w:val="28"/>
          <w:szCs w:val="28"/>
          <w:shd w:val="clear" w:color="auto" w:fill="FFFFFF"/>
        </w:rPr>
        <w:t xml:space="preserve">Lo anterior, ha dicho la jurisprudencia, por razón de la distinta estructura del proceso acusatorio y el diferente trato que los dos estatutos le asignan al instituto de la prescripción, sin que los cuestionamientos del recurrente sobre la justificación o no de ese trato diferencial, las analogías que elabora a partir de la aplicación de </w:t>
      </w:r>
      <w:r w:rsidRPr="000403DF">
        <w:rPr>
          <w:rFonts w:ascii="Bookman Old Style" w:hAnsi="Bookman Old Style"/>
          <w:i/>
          <w:sz w:val="28"/>
          <w:szCs w:val="28"/>
        </w:rPr>
        <w:t>la favorabilidad en</w:t>
      </w:r>
      <w:r w:rsidRPr="000403DF">
        <w:rPr>
          <w:rFonts w:ascii="Bookman Old Style" w:hAnsi="Bookman Old Style"/>
          <w:i/>
          <w:sz w:val="28"/>
          <w:szCs w:val="28"/>
          <w:shd w:val="clear" w:color="auto" w:fill="FFFFFF"/>
        </w:rPr>
        <w:t xml:space="preserve"> otras instituciones jurídicas, o su personal convicción, contraria a la reiterada jurisprudencia, de que “no es del todo imposible” asimilar la imputación del sistema acusatorio a la resolución</w:t>
      </w:r>
      <w:r w:rsidR="000403DF">
        <w:rPr>
          <w:rFonts w:ascii="Bookman Old Style" w:hAnsi="Bookman Old Style"/>
          <w:i/>
          <w:sz w:val="28"/>
          <w:szCs w:val="28"/>
          <w:shd w:val="clear" w:color="auto" w:fill="FFFFFF"/>
        </w:rPr>
        <w:t xml:space="preserve"> </w:t>
      </w:r>
      <w:r w:rsidRPr="000403DF">
        <w:rPr>
          <w:rFonts w:ascii="Bookman Old Style" w:hAnsi="Bookman Old Style"/>
          <w:i/>
          <w:sz w:val="28"/>
          <w:szCs w:val="28"/>
          <w:shd w:val="clear" w:color="auto" w:fill="FFFFFF"/>
        </w:rPr>
        <w:t>de acusación del sistema mixto, tenga la capacidad de enseñar la necesidad de no aplicar los constantes y reiterados pronunciamientos de esta Colegiatura sobre el tema. »</w:t>
      </w:r>
      <w:r w:rsidRPr="000403DF">
        <w:rPr>
          <w:rFonts w:ascii="Bookman Old Style" w:hAnsi="Bookman Old Style"/>
          <w:sz w:val="28"/>
          <w:szCs w:val="28"/>
          <w:shd w:val="clear" w:color="auto" w:fill="FFFFFF"/>
        </w:rPr>
        <w:t>.</w:t>
      </w:r>
    </w:p>
    <w:p w:rsidR="00F247B5" w:rsidRPr="000403DF" w:rsidRDefault="00F247B5" w:rsidP="000403DF">
      <w:pPr>
        <w:spacing w:line="360" w:lineRule="auto"/>
        <w:ind w:firstLine="709"/>
        <w:jc w:val="both"/>
        <w:rPr>
          <w:rFonts w:ascii="Bookman Old Style" w:hAnsi="Bookman Old Style" w:cs="Arial"/>
          <w:sz w:val="28"/>
          <w:szCs w:val="28"/>
        </w:rPr>
      </w:pPr>
    </w:p>
    <w:p w:rsidR="00EF4489" w:rsidRDefault="00EF4489" w:rsidP="000403DF">
      <w:pPr>
        <w:spacing w:line="360" w:lineRule="auto"/>
        <w:ind w:firstLine="709"/>
        <w:jc w:val="both"/>
        <w:rPr>
          <w:rFonts w:ascii="Bookman Old Style" w:hAnsi="Bookman Old Style" w:cs="Arial"/>
          <w:sz w:val="28"/>
          <w:szCs w:val="28"/>
        </w:rPr>
      </w:pPr>
      <w:r w:rsidRPr="000403DF">
        <w:rPr>
          <w:rFonts w:ascii="Bookman Old Style" w:hAnsi="Bookman Old Style" w:cs="Arial"/>
          <w:sz w:val="28"/>
          <w:szCs w:val="28"/>
        </w:rPr>
        <w:t xml:space="preserve">La conducta atribuida a la </w:t>
      </w:r>
      <w:r w:rsidR="000403DF">
        <w:rPr>
          <w:rFonts w:ascii="Bookman Old Style" w:hAnsi="Bookman Old Style" w:cs="Arial"/>
          <w:sz w:val="28"/>
          <w:szCs w:val="28"/>
        </w:rPr>
        <w:t>procesada</w:t>
      </w:r>
      <w:r w:rsidRPr="000403DF">
        <w:rPr>
          <w:rFonts w:ascii="Bookman Old Style" w:hAnsi="Bookman Old Style" w:cs="Arial"/>
          <w:sz w:val="28"/>
          <w:szCs w:val="28"/>
        </w:rPr>
        <w:t xml:space="preserve"> prevista en el artíc</w:t>
      </w:r>
      <w:r>
        <w:rPr>
          <w:rFonts w:ascii="Bookman Old Style" w:hAnsi="Bookman Old Style" w:cs="Arial"/>
          <w:sz w:val="28"/>
          <w:szCs w:val="28"/>
        </w:rPr>
        <w:t>ulo 376 inciso 2º de la ley 599 de 2000, es sancionada con prisión de cuatro (4) a seis (6) años. No fueron imputadas circunstancias modificadoras de dichos límites.</w:t>
      </w:r>
    </w:p>
    <w:p w:rsidR="00EF4489" w:rsidRDefault="00EF4489" w:rsidP="002C7408">
      <w:pPr>
        <w:spacing w:line="360" w:lineRule="auto"/>
        <w:ind w:firstLine="709"/>
        <w:jc w:val="both"/>
        <w:rPr>
          <w:rFonts w:ascii="Bookman Old Style" w:hAnsi="Bookman Old Style" w:cs="Arial"/>
          <w:sz w:val="28"/>
          <w:szCs w:val="28"/>
        </w:rPr>
      </w:pPr>
    </w:p>
    <w:p w:rsidR="00EF4489" w:rsidRDefault="003D4640"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Conforme con</w:t>
      </w:r>
      <w:r w:rsidR="00EF4489">
        <w:rPr>
          <w:rFonts w:ascii="Bookman Old Style" w:hAnsi="Bookman Old Style" w:cs="Arial"/>
          <w:sz w:val="28"/>
          <w:szCs w:val="28"/>
        </w:rPr>
        <w:t xml:space="preserve"> la acusación los hechos hacen relación al expendio de estupefacientes en diciembre de 2005 y febrero de 2006.</w:t>
      </w:r>
    </w:p>
    <w:p w:rsidR="00EF4489" w:rsidRDefault="00EF4489" w:rsidP="002C7408">
      <w:pPr>
        <w:spacing w:line="360" w:lineRule="auto"/>
        <w:ind w:firstLine="709"/>
        <w:jc w:val="both"/>
        <w:rPr>
          <w:rFonts w:ascii="Bookman Old Style" w:hAnsi="Bookman Old Style" w:cs="Arial"/>
          <w:sz w:val="28"/>
          <w:szCs w:val="28"/>
        </w:rPr>
      </w:pPr>
    </w:p>
    <w:p w:rsidR="00167B76" w:rsidRDefault="00167B76"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Según el artículo 83 del Código Penal, la acción penal prescribe en un tiempo igual al máximo de la pena fijada por la ley para el delito, cuando es privativa de la libertad, sin que en ningún caso sea inferior a cinco (5) años ni </w:t>
      </w:r>
      <w:r>
        <w:rPr>
          <w:rFonts w:ascii="Bookman Old Style" w:hAnsi="Bookman Old Style" w:cs="Arial"/>
          <w:sz w:val="28"/>
          <w:szCs w:val="28"/>
        </w:rPr>
        <w:lastRenderedPageBreak/>
        <w:t>superior a veinte</w:t>
      </w:r>
      <w:r w:rsidR="00A95D37">
        <w:rPr>
          <w:rFonts w:ascii="Bookman Old Style" w:hAnsi="Bookman Old Style" w:cs="Arial"/>
          <w:sz w:val="28"/>
          <w:szCs w:val="28"/>
        </w:rPr>
        <w:t xml:space="preserve"> </w:t>
      </w:r>
      <w:r>
        <w:rPr>
          <w:rFonts w:ascii="Bookman Old Style" w:hAnsi="Bookman Old Style" w:cs="Arial"/>
          <w:sz w:val="28"/>
          <w:szCs w:val="28"/>
        </w:rPr>
        <w:t>(20), salvo las excepciones previstas en la ley.</w:t>
      </w:r>
    </w:p>
    <w:p w:rsidR="00167B76" w:rsidRDefault="00167B76" w:rsidP="002C7408">
      <w:pPr>
        <w:spacing w:line="360" w:lineRule="auto"/>
        <w:ind w:firstLine="709"/>
        <w:jc w:val="both"/>
        <w:rPr>
          <w:rFonts w:ascii="Bookman Old Style" w:hAnsi="Bookman Old Style" w:cs="Arial"/>
          <w:sz w:val="28"/>
          <w:szCs w:val="28"/>
        </w:rPr>
      </w:pPr>
    </w:p>
    <w:p w:rsidR="00167B76" w:rsidRDefault="00167B76" w:rsidP="00167B76">
      <w:pPr>
        <w:spacing w:line="360" w:lineRule="auto"/>
        <w:ind w:firstLine="709"/>
        <w:jc w:val="both"/>
        <w:rPr>
          <w:rFonts w:ascii="Bookman Old Style" w:hAnsi="Bookman Old Style" w:cs="Arial"/>
          <w:sz w:val="28"/>
          <w:szCs w:val="28"/>
        </w:rPr>
      </w:pPr>
      <w:r>
        <w:rPr>
          <w:rFonts w:ascii="Bookman Old Style" w:hAnsi="Bookman Old Style" w:cs="Arial"/>
          <w:sz w:val="28"/>
          <w:szCs w:val="28"/>
        </w:rPr>
        <w:t>El lapso prescriptivo se interrumpe con la resolución de acusación o su equivalente debidamente ejecutoriada, artículo 86, el cual comienza a</w:t>
      </w:r>
      <w:r w:rsidRPr="003D332B">
        <w:rPr>
          <w:rFonts w:ascii="Bookman Old Style" w:hAnsi="Bookman Old Style" w:cs="Arial"/>
          <w:i/>
          <w:sz w:val="28"/>
          <w:szCs w:val="28"/>
        </w:rPr>
        <w:t xml:space="preserve"> </w:t>
      </w:r>
      <w:r>
        <w:rPr>
          <w:rFonts w:ascii="Bookman Old Style" w:hAnsi="Bookman Old Style" w:cs="Arial"/>
          <w:i/>
          <w:sz w:val="28"/>
          <w:szCs w:val="28"/>
        </w:rPr>
        <w:t>“</w:t>
      </w:r>
      <w:r w:rsidRPr="003D332B">
        <w:rPr>
          <w:rFonts w:ascii="Bookman Old Style" w:hAnsi="Bookman Old Style" w:cs="Arial"/>
          <w:i/>
          <w:sz w:val="28"/>
          <w:szCs w:val="28"/>
        </w:rPr>
        <w:t>correr de nuevo por un término igual a la mitad del señalado en el artículo 83 del Código Penal”</w:t>
      </w:r>
      <w:r>
        <w:rPr>
          <w:rFonts w:ascii="Bookman Old Style" w:hAnsi="Bookman Old Style" w:cs="Arial"/>
          <w:sz w:val="28"/>
          <w:szCs w:val="28"/>
        </w:rPr>
        <w:t>, sin que este evento pueda ser inferior a cinco (5) ni superior a diez (10) años.</w:t>
      </w:r>
    </w:p>
    <w:p w:rsidR="000403DF" w:rsidRPr="003D332B" w:rsidRDefault="000403DF" w:rsidP="00167B76">
      <w:pPr>
        <w:spacing w:line="360" w:lineRule="auto"/>
        <w:ind w:firstLine="709"/>
        <w:jc w:val="both"/>
        <w:rPr>
          <w:rFonts w:ascii="Bookman Old Style" w:hAnsi="Bookman Old Style" w:cs="Arial"/>
          <w:sz w:val="28"/>
          <w:szCs w:val="28"/>
        </w:rPr>
      </w:pPr>
    </w:p>
    <w:p w:rsidR="000403DF" w:rsidRDefault="00167B76"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La resolución de acusación proferida e</w:t>
      </w:r>
      <w:r w:rsidR="00A95D37">
        <w:rPr>
          <w:rFonts w:ascii="Bookman Old Style" w:hAnsi="Bookman Old Style" w:cs="Arial"/>
          <w:sz w:val="28"/>
          <w:szCs w:val="28"/>
        </w:rPr>
        <w:t>n septiembre</w:t>
      </w:r>
      <w:r>
        <w:rPr>
          <w:rFonts w:ascii="Bookman Old Style" w:hAnsi="Bookman Old Style" w:cs="Arial"/>
          <w:sz w:val="28"/>
          <w:szCs w:val="28"/>
        </w:rPr>
        <w:t xml:space="preserve"> 27 de 2011</w:t>
      </w:r>
      <w:r w:rsidR="00A95D37">
        <w:rPr>
          <w:rFonts w:ascii="Bookman Old Style" w:hAnsi="Bookman Old Style" w:cs="Arial"/>
          <w:sz w:val="28"/>
          <w:szCs w:val="28"/>
        </w:rPr>
        <w:t>, causó e</w:t>
      </w:r>
      <w:r w:rsidR="0079599E">
        <w:rPr>
          <w:rFonts w:ascii="Bookman Old Style" w:hAnsi="Bookman Old Style" w:cs="Arial"/>
          <w:sz w:val="28"/>
          <w:szCs w:val="28"/>
        </w:rPr>
        <w:t>jecutoria material en octubre 18</w:t>
      </w:r>
      <w:r w:rsidR="00A95D37">
        <w:rPr>
          <w:rFonts w:ascii="Bookman Old Style" w:hAnsi="Bookman Old Style" w:cs="Arial"/>
          <w:sz w:val="28"/>
          <w:szCs w:val="28"/>
        </w:rPr>
        <w:t xml:space="preserve"> del mismo año.</w:t>
      </w:r>
    </w:p>
    <w:p w:rsidR="000403DF" w:rsidRDefault="000403DF" w:rsidP="002C7408">
      <w:pPr>
        <w:spacing w:line="360" w:lineRule="auto"/>
        <w:ind w:firstLine="709"/>
        <w:jc w:val="both"/>
        <w:rPr>
          <w:rFonts w:ascii="Bookman Old Style" w:hAnsi="Bookman Old Style" w:cs="Arial"/>
          <w:sz w:val="28"/>
          <w:szCs w:val="28"/>
        </w:rPr>
      </w:pPr>
    </w:p>
    <w:p w:rsidR="00A95D37" w:rsidRDefault="00A95D37"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De acuerdo con el artículo 83 citado, para la fecha en que la acusación quedó ejecutoriada, no había transcurrido más de seis (6) años contados a partir de diciembre de 2005, de modo que cuando se calificó la instrucción la acción penal no había prescrito.</w:t>
      </w:r>
    </w:p>
    <w:p w:rsidR="00A95D37" w:rsidRDefault="00A95D37" w:rsidP="002C7408">
      <w:pPr>
        <w:spacing w:line="360" w:lineRule="auto"/>
        <w:ind w:firstLine="709"/>
        <w:jc w:val="both"/>
        <w:rPr>
          <w:rFonts w:ascii="Bookman Old Style" w:hAnsi="Bookman Old Style" w:cs="Arial"/>
          <w:sz w:val="28"/>
          <w:szCs w:val="28"/>
        </w:rPr>
      </w:pPr>
    </w:p>
    <w:p w:rsidR="00F247B5" w:rsidRDefault="00A95D37"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t xml:space="preserve">Interrumpido el término de prescripción de la acción penal con la ejecutoria de la acusación, comenzaba a correr de nuevo </w:t>
      </w:r>
      <w:r w:rsidR="00E87720">
        <w:rPr>
          <w:rFonts w:ascii="Bookman Old Style" w:hAnsi="Bookman Old Style" w:cs="Arial"/>
          <w:sz w:val="28"/>
          <w:szCs w:val="28"/>
        </w:rPr>
        <w:t xml:space="preserve">por un lapso igual a la mitad del señalado en aquel precepto. Esto es, en razón de la pena máxima prevista para el delito imputado sería de tres (3) años, pero como en ningún caso puede ser inferior a cinco (5), </w:t>
      </w:r>
      <w:r w:rsidR="00F247B5">
        <w:rPr>
          <w:rFonts w:ascii="Bookman Old Style" w:hAnsi="Bookman Old Style" w:cs="Arial"/>
          <w:sz w:val="28"/>
          <w:szCs w:val="28"/>
        </w:rPr>
        <w:t>quiere decir que la acción penal en este asunto no ha prescrito.</w:t>
      </w:r>
    </w:p>
    <w:p w:rsidR="00F247B5" w:rsidRDefault="00F247B5" w:rsidP="002C7408">
      <w:pPr>
        <w:spacing w:line="360" w:lineRule="auto"/>
        <w:ind w:firstLine="709"/>
        <w:jc w:val="both"/>
        <w:rPr>
          <w:rFonts w:ascii="Bookman Old Style" w:hAnsi="Bookman Old Style" w:cs="Arial"/>
          <w:sz w:val="28"/>
          <w:szCs w:val="28"/>
        </w:rPr>
      </w:pPr>
    </w:p>
    <w:p w:rsidR="00F247B5" w:rsidRDefault="00F247B5" w:rsidP="002C7408">
      <w:pPr>
        <w:spacing w:line="360" w:lineRule="auto"/>
        <w:ind w:firstLine="709"/>
        <w:jc w:val="both"/>
        <w:rPr>
          <w:rFonts w:ascii="Bookman Old Style" w:hAnsi="Bookman Old Style" w:cs="Arial"/>
          <w:sz w:val="28"/>
          <w:szCs w:val="28"/>
        </w:rPr>
      </w:pPr>
      <w:r>
        <w:rPr>
          <w:rFonts w:ascii="Bookman Old Style" w:hAnsi="Bookman Old Style" w:cs="Arial"/>
          <w:sz w:val="28"/>
          <w:szCs w:val="28"/>
        </w:rPr>
        <w:lastRenderedPageBreak/>
        <w:t>En efecto, aún no han transcurrido los cinco (5) años contados a partir de la ejecutoria de la acusación, octubre 14 de 2011, para que tal fenómeno haya acontecido.</w:t>
      </w:r>
    </w:p>
    <w:p w:rsidR="00F247B5" w:rsidRDefault="00F247B5" w:rsidP="002C7408">
      <w:pPr>
        <w:spacing w:line="360" w:lineRule="auto"/>
        <w:ind w:firstLine="709"/>
        <w:jc w:val="both"/>
        <w:rPr>
          <w:rFonts w:ascii="Bookman Old Style" w:hAnsi="Bookman Old Style" w:cs="Arial"/>
          <w:sz w:val="28"/>
          <w:szCs w:val="28"/>
        </w:rPr>
      </w:pPr>
    </w:p>
    <w:p w:rsidR="00134D3B" w:rsidRDefault="00F247B5" w:rsidP="00F247B5">
      <w:pPr>
        <w:spacing w:line="360" w:lineRule="auto"/>
        <w:ind w:firstLine="709"/>
        <w:jc w:val="both"/>
        <w:rPr>
          <w:rFonts w:ascii="Bookman Old Style" w:hAnsi="Bookman Old Style"/>
          <w:color w:val="4F4F4F"/>
          <w:sz w:val="28"/>
          <w:szCs w:val="28"/>
          <w:shd w:val="clear" w:color="auto" w:fill="FFFFFF"/>
          <w:lang w:val="es-CO"/>
        </w:rPr>
      </w:pPr>
      <w:r>
        <w:rPr>
          <w:rFonts w:ascii="Bookman Old Style" w:hAnsi="Bookman Old Style" w:cs="Arial"/>
          <w:sz w:val="28"/>
          <w:szCs w:val="28"/>
        </w:rPr>
        <w:t>En consecuencia, el reparo no prospera.</w:t>
      </w:r>
      <w:r>
        <w:rPr>
          <w:rFonts w:ascii="Bookman Old Style" w:hAnsi="Bookman Old Style"/>
          <w:color w:val="4F4F4F"/>
          <w:sz w:val="28"/>
          <w:szCs w:val="28"/>
          <w:shd w:val="clear" w:color="auto" w:fill="FFFFFF"/>
          <w:lang w:val="es-CO"/>
        </w:rPr>
        <w:t xml:space="preserve"> </w:t>
      </w:r>
    </w:p>
    <w:p w:rsidR="00F247B5" w:rsidRDefault="00F247B5" w:rsidP="004C7093">
      <w:pPr>
        <w:pStyle w:val="Textoindependiente"/>
        <w:ind w:firstLine="708"/>
        <w:rPr>
          <w:rFonts w:ascii="Bookman Old Style" w:hAnsi="Bookman Old Style"/>
          <w:spacing w:val="-3"/>
          <w:sz w:val="28"/>
          <w:szCs w:val="28"/>
        </w:rPr>
      </w:pPr>
    </w:p>
    <w:p w:rsidR="004C7093" w:rsidRPr="001E7A06" w:rsidRDefault="004C7093" w:rsidP="004C7093">
      <w:pPr>
        <w:pStyle w:val="Textoindependiente"/>
        <w:ind w:firstLine="708"/>
        <w:rPr>
          <w:rFonts w:ascii="Bookman Old Style" w:hAnsi="Bookman Old Style"/>
          <w:b/>
          <w:spacing w:val="-3"/>
          <w:sz w:val="28"/>
          <w:szCs w:val="28"/>
        </w:rPr>
      </w:pPr>
      <w:r w:rsidRPr="001E7A06">
        <w:rPr>
          <w:rFonts w:ascii="Bookman Old Style" w:hAnsi="Bookman Old Style"/>
          <w:spacing w:val="-3"/>
          <w:sz w:val="28"/>
          <w:szCs w:val="28"/>
        </w:rPr>
        <w:t xml:space="preserve">En mérito de lo expuesto, la </w:t>
      </w:r>
      <w:r w:rsidRPr="001E7A06">
        <w:rPr>
          <w:rFonts w:ascii="Bookman Old Style" w:hAnsi="Bookman Old Style"/>
          <w:b/>
          <w:i/>
          <w:sz w:val="28"/>
          <w:szCs w:val="28"/>
        </w:rPr>
        <w:t>CORTE SUPREMA DE JUSTICIA, Sala de Casación Penal,</w:t>
      </w:r>
      <w:r w:rsidRPr="001E7A06">
        <w:rPr>
          <w:rFonts w:ascii="Bookman Old Style" w:hAnsi="Bookman Old Style"/>
          <w:b/>
          <w:sz w:val="28"/>
          <w:szCs w:val="28"/>
        </w:rPr>
        <w:t xml:space="preserve"> </w:t>
      </w:r>
      <w:r w:rsidRPr="001E7A06">
        <w:rPr>
          <w:rFonts w:ascii="Bookman Old Style" w:hAnsi="Bookman Old Style"/>
          <w:sz w:val="28"/>
          <w:szCs w:val="28"/>
        </w:rPr>
        <w:t>administrando justicia en nombre de la República y por autoridad de la ley,</w:t>
      </w:r>
    </w:p>
    <w:p w:rsidR="004C7093" w:rsidRDefault="004C7093" w:rsidP="004C7093">
      <w:pPr>
        <w:pStyle w:val="Textoindependiente"/>
        <w:ind w:firstLine="708"/>
        <w:rPr>
          <w:rFonts w:ascii="Bookman Old Style" w:hAnsi="Bookman Old Style" w:cs="Arial"/>
          <w:sz w:val="28"/>
          <w:szCs w:val="28"/>
          <w:shd w:val="clear" w:color="auto" w:fill="FFFFFF"/>
        </w:rPr>
      </w:pPr>
      <w:r>
        <w:rPr>
          <w:rFonts w:ascii="Bookman Old Style" w:hAnsi="Bookman Old Style" w:cs="Arial"/>
          <w:sz w:val="28"/>
          <w:szCs w:val="28"/>
          <w:shd w:val="clear" w:color="auto" w:fill="FFFFFF"/>
        </w:rPr>
        <w:t xml:space="preserve">  </w:t>
      </w:r>
    </w:p>
    <w:p w:rsidR="004C7093" w:rsidRPr="00322D33" w:rsidRDefault="004C7093" w:rsidP="004C7093">
      <w:pPr>
        <w:spacing w:line="360" w:lineRule="auto"/>
        <w:jc w:val="center"/>
        <w:rPr>
          <w:rFonts w:ascii="Bookman Old Style" w:hAnsi="Bookman Old Style" w:cs="Arial"/>
          <w:sz w:val="28"/>
          <w:szCs w:val="28"/>
        </w:rPr>
      </w:pPr>
      <w:r w:rsidRPr="00322D33">
        <w:rPr>
          <w:rFonts w:ascii="Bookman Old Style" w:hAnsi="Bookman Old Style" w:cs="Arial"/>
          <w:sz w:val="28"/>
          <w:szCs w:val="28"/>
        </w:rPr>
        <w:t>RESUELVE</w:t>
      </w:r>
    </w:p>
    <w:p w:rsidR="004C7093" w:rsidRPr="00322D33" w:rsidRDefault="004C7093" w:rsidP="004C7093">
      <w:pPr>
        <w:pStyle w:val="Textoindependiente"/>
        <w:spacing w:line="480" w:lineRule="auto"/>
        <w:ind w:firstLine="708"/>
        <w:rPr>
          <w:rFonts w:ascii="Bookman Old Style" w:hAnsi="Bookman Old Style" w:cs="Arial"/>
          <w:sz w:val="28"/>
          <w:szCs w:val="28"/>
          <w:u w:val="single"/>
        </w:rPr>
      </w:pPr>
    </w:p>
    <w:p w:rsidR="004C7093" w:rsidRDefault="004C7093" w:rsidP="004C7093">
      <w:pPr>
        <w:spacing w:line="360" w:lineRule="auto"/>
        <w:ind w:firstLine="709"/>
        <w:jc w:val="both"/>
        <w:rPr>
          <w:rFonts w:ascii="Bookman Old Style" w:hAnsi="Bookman Old Style" w:cs="Arial"/>
          <w:i/>
          <w:sz w:val="32"/>
          <w:szCs w:val="32"/>
        </w:rPr>
      </w:pPr>
      <w:r>
        <w:rPr>
          <w:rFonts w:ascii="Bookman Old Style" w:hAnsi="Bookman Old Style"/>
          <w:spacing w:val="-3"/>
          <w:sz w:val="28"/>
          <w:szCs w:val="28"/>
        </w:rPr>
        <w:t xml:space="preserve">No </w:t>
      </w:r>
      <w:r w:rsidRPr="00322D33">
        <w:rPr>
          <w:rFonts w:ascii="Bookman Old Style" w:hAnsi="Bookman Old Style"/>
          <w:spacing w:val="-3"/>
          <w:sz w:val="28"/>
          <w:szCs w:val="28"/>
        </w:rPr>
        <w:t xml:space="preserve">Casar el fallo de origen, naturaleza y contenido indicados, de acuerdo con </w:t>
      </w:r>
      <w:r w:rsidR="00F247B5">
        <w:rPr>
          <w:rFonts w:ascii="Bookman Old Style" w:hAnsi="Bookman Old Style"/>
          <w:spacing w:val="-3"/>
          <w:sz w:val="28"/>
          <w:szCs w:val="28"/>
        </w:rPr>
        <w:t>el</w:t>
      </w:r>
      <w:r w:rsidRPr="00322D33">
        <w:rPr>
          <w:rFonts w:ascii="Bookman Old Style" w:hAnsi="Bookman Old Style"/>
          <w:spacing w:val="-3"/>
          <w:sz w:val="28"/>
          <w:szCs w:val="28"/>
        </w:rPr>
        <w:t xml:space="preserve"> cargo</w:t>
      </w:r>
      <w:r>
        <w:rPr>
          <w:rFonts w:ascii="Bookman Old Style" w:hAnsi="Bookman Old Style"/>
          <w:spacing w:val="-3"/>
          <w:sz w:val="28"/>
          <w:szCs w:val="28"/>
        </w:rPr>
        <w:t xml:space="preserve"> formulado en la demanda p</w:t>
      </w:r>
      <w:r w:rsidR="00F247B5">
        <w:rPr>
          <w:rFonts w:ascii="Bookman Old Style" w:hAnsi="Bookman Old Style"/>
          <w:spacing w:val="-3"/>
          <w:sz w:val="28"/>
          <w:szCs w:val="28"/>
        </w:rPr>
        <w:t>resentada por el defensor de MAR</w:t>
      </w:r>
      <w:r w:rsidR="000403DF">
        <w:rPr>
          <w:rFonts w:ascii="Bookman Old Style" w:hAnsi="Bookman Old Style"/>
          <w:spacing w:val="-3"/>
          <w:sz w:val="28"/>
          <w:szCs w:val="28"/>
        </w:rPr>
        <w:t>I</w:t>
      </w:r>
      <w:r w:rsidR="00F247B5">
        <w:rPr>
          <w:rFonts w:ascii="Bookman Old Style" w:hAnsi="Bookman Old Style"/>
          <w:spacing w:val="-3"/>
          <w:sz w:val="28"/>
          <w:szCs w:val="28"/>
        </w:rPr>
        <w:t>TZA RIVEROS TIRIA.</w:t>
      </w:r>
    </w:p>
    <w:p w:rsidR="004C7093" w:rsidRDefault="004C7093" w:rsidP="004C7093">
      <w:pPr>
        <w:pStyle w:val="Textoindependiente"/>
        <w:ind w:firstLine="708"/>
        <w:rPr>
          <w:rFonts w:ascii="Bookman Old Style" w:hAnsi="Bookman Old Style" w:cs="Arial"/>
          <w:sz w:val="28"/>
          <w:szCs w:val="28"/>
          <w:lang w:val="es-ES"/>
        </w:rPr>
      </w:pPr>
    </w:p>
    <w:p w:rsidR="004C7093" w:rsidRPr="00BE18A9" w:rsidRDefault="004C7093" w:rsidP="004C7093">
      <w:pPr>
        <w:pStyle w:val="Textoindependiente"/>
        <w:ind w:firstLine="708"/>
        <w:rPr>
          <w:rFonts w:ascii="Bookman Old Style" w:hAnsi="Bookman Old Style" w:cs="Arial"/>
          <w:sz w:val="28"/>
          <w:szCs w:val="28"/>
          <w:lang w:val="es-ES"/>
        </w:rPr>
      </w:pPr>
      <w:r>
        <w:rPr>
          <w:rFonts w:ascii="Bookman Old Style" w:hAnsi="Bookman Old Style" w:cs="Arial"/>
          <w:sz w:val="28"/>
          <w:szCs w:val="28"/>
          <w:lang w:val="es-ES"/>
        </w:rPr>
        <w:t>Contra esta decisión no procede recurso alguno.</w:t>
      </w:r>
    </w:p>
    <w:p w:rsidR="004C7093" w:rsidRDefault="004C7093" w:rsidP="004C7093">
      <w:pPr>
        <w:pStyle w:val="Sangradetextonormal"/>
        <w:spacing w:line="360" w:lineRule="auto"/>
        <w:ind w:firstLine="0"/>
        <w:rPr>
          <w:rFonts w:ascii="Bookman Old Style" w:hAnsi="Bookman Old Style" w:cs="Arial"/>
          <w:sz w:val="28"/>
          <w:szCs w:val="28"/>
        </w:rPr>
      </w:pPr>
    </w:p>
    <w:p w:rsidR="004C7093" w:rsidRPr="00E85BC3" w:rsidRDefault="004C7093" w:rsidP="004C7093">
      <w:pPr>
        <w:pStyle w:val="Sangradetextonormal"/>
        <w:spacing w:line="360" w:lineRule="auto"/>
        <w:ind w:firstLine="708"/>
        <w:rPr>
          <w:rFonts w:ascii="Bookman Old Style" w:hAnsi="Bookman Old Style" w:cs="Arial"/>
          <w:bCs/>
          <w:sz w:val="28"/>
          <w:szCs w:val="28"/>
        </w:rPr>
      </w:pPr>
      <w:r>
        <w:rPr>
          <w:rFonts w:ascii="Bookman Old Style" w:hAnsi="Bookman Old Style" w:cs="Arial"/>
          <w:sz w:val="28"/>
          <w:szCs w:val="28"/>
        </w:rPr>
        <w:t>Notifíquese y devuélvase el expediente al Tribunal de origen.</w:t>
      </w:r>
    </w:p>
    <w:p w:rsidR="004C7093" w:rsidRDefault="004C7093" w:rsidP="004C7093">
      <w:pPr>
        <w:pStyle w:val="Sangra2detindependiente"/>
        <w:spacing w:line="360" w:lineRule="auto"/>
        <w:ind w:left="0"/>
        <w:jc w:val="center"/>
        <w:rPr>
          <w:rFonts w:ascii="Bookman Old Style" w:hAnsi="Bookman Old Style" w:cs="Arial"/>
          <w:sz w:val="28"/>
          <w:szCs w:val="28"/>
        </w:rPr>
      </w:pPr>
    </w:p>
    <w:p w:rsidR="004C7093" w:rsidRDefault="004C7093" w:rsidP="004C7093">
      <w:pPr>
        <w:pStyle w:val="Sangra2detindependiente"/>
        <w:spacing w:line="360" w:lineRule="auto"/>
        <w:ind w:left="0"/>
        <w:jc w:val="center"/>
        <w:rPr>
          <w:rFonts w:ascii="Bookman Old Style" w:hAnsi="Bookman Old Style" w:cs="Arial"/>
          <w:sz w:val="28"/>
          <w:szCs w:val="28"/>
        </w:rPr>
      </w:pPr>
    </w:p>
    <w:p w:rsidR="004C7093" w:rsidRDefault="004C7093" w:rsidP="004C7093">
      <w:pPr>
        <w:pStyle w:val="Sangra2detindependiente"/>
        <w:spacing w:line="360" w:lineRule="auto"/>
        <w:ind w:left="0"/>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bCs/>
          <w:iCs/>
          <w:sz w:val="28"/>
          <w:szCs w:val="28"/>
        </w:rPr>
      </w:pPr>
      <w:r w:rsidRPr="00070144">
        <w:rPr>
          <w:rFonts w:ascii="Bookman Old Style" w:hAnsi="Bookman Old Style" w:cs="Arial"/>
          <w:bCs/>
          <w:iCs/>
          <w:sz w:val="28"/>
          <w:szCs w:val="28"/>
        </w:rPr>
        <w:t>GUSTAVO ENRIQUE MALO FERNÁNDEZ</w:t>
      </w:r>
    </w:p>
    <w:p w:rsidR="004C7093" w:rsidRDefault="004C7093" w:rsidP="004C7093">
      <w:pPr>
        <w:pStyle w:val="Sangra2detindependiente"/>
        <w:spacing w:line="360" w:lineRule="auto"/>
        <w:ind w:left="0"/>
        <w:jc w:val="center"/>
        <w:rPr>
          <w:rFonts w:ascii="Bookman Old Style" w:hAnsi="Bookman Old Style" w:cs="Arial"/>
          <w:sz w:val="28"/>
          <w:szCs w:val="28"/>
        </w:rPr>
      </w:pPr>
    </w:p>
    <w:p w:rsidR="004C7093" w:rsidRDefault="004C7093" w:rsidP="004C7093">
      <w:pPr>
        <w:pStyle w:val="Sangra2detindependiente"/>
        <w:spacing w:line="360" w:lineRule="auto"/>
        <w:ind w:left="0"/>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r>
        <w:rPr>
          <w:rFonts w:ascii="Bookman Old Style" w:hAnsi="Bookman Old Style" w:cs="Arial"/>
          <w:sz w:val="28"/>
          <w:szCs w:val="28"/>
        </w:rPr>
        <w:t>JOSÉ FRANCISCO ACUÑA VIZCAYA</w:t>
      </w:r>
    </w:p>
    <w:p w:rsidR="004C7093" w:rsidRPr="006D30AC" w:rsidRDefault="004C7093" w:rsidP="004C7093">
      <w:pPr>
        <w:pStyle w:val="Sangra2detindependiente"/>
        <w:spacing w:line="360" w:lineRule="auto"/>
        <w:ind w:left="0"/>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r w:rsidRPr="00070144">
        <w:rPr>
          <w:rFonts w:ascii="Bookman Old Style" w:hAnsi="Bookman Old Style" w:cs="Arial"/>
          <w:sz w:val="28"/>
          <w:szCs w:val="28"/>
        </w:rPr>
        <w:t>JOSÉ LUIS BARCELÓ CAMACHO</w:t>
      </w:r>
    </w:p>
    <w:p w:rsidR="004C7093" w:rsidRPr="00070144"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r>
        <w:rPr>
          <w:rFonts w:ascii="Bookman Old Style" w:hAnsi="Bookman Old Style" w:cs="Arial"/>
          <w:sz w:val="28"/>
          <w:szCs w:val="28"/>
        </w:rPr>
        <w:t>FERNANDO A. CA</w:t>
      </w:r>
      <w:r w:rsidRPr="00070144">
        <w:rPr>
          <w:rFonts w:ascii="Bookman Old Style" w:hAnsi="Bookman Old Style" w:cs="Arial"/>
          <w:sz w:val="28"/>
          <w:szCs w:val="28"/>
        </w:rPr>
        <w:t>STRO CABALLERO</w:t>
      </w: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bCs/>
          <w:iCs/>
          <w:sz w:val="28"/>
          <w:szCs w:val="28"/>
        </w:rPr>
      </w:pPr>
    </w:p>
    <w:p w:rsidR="004C7093" w:rsidRPr="00070144" w:rsidRDefault="004C7093" w:rsidP="004C7093">
      <w:pPr>
        <w:spacing w:line="360" w:lineRule="auto"/>
        <w:jc w:val="center"/>
        <w:rPr>
          <w:rFonts w:ascii="Bookman Old Style" w:hAnsi="Bookman Old Style" w:cs="Arial"/>
          <w:sz w:val="28"/>
          <w:szCs w:val="28"/>
        </w:rPr>
      </w:pPr>
      <w:r w:rsidRPr="00070144">
        <w:rPr>
          <w:rFonts w:ascii="Bookman Old Style" w:hAnsi="Bookman Old Style" w:cs="Arial"/>
          <w:bCs/>
          <w:iCs/>
          <w:sz w:val="28"/>
          <w:szCs w:val="28"/>
        </w:rPr>
        <w:t>EUGENIO FERNÁNDEZ CARLIER</w:t>
      </w: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bCs/>
          <w:iCs/>
          <w:sz w:val="28"/>
          <w:szCs w:val="28"/>
        </w:rPr>
      </w:pPr>
    </w:p>
    <w:p w:rsidR="004C7093" w:rsidRDefault="004C7093" w:rsidP="004C7093">
      <w:pPr>
        <w:spacing w:line="360" w:lineRule="auto"/>
        <w:jc w:val="center"/>
        <w:rPr>
          <w:rFonts w:ascii="Bookman Old Style" w:hAnsi="Bookman Old Style" w:cs="Arial"/>
          <w:bCs/>
          <w:iCs/>
          <w:sz w:val="28"/>
          <w:szCs w:val="28"/>
        </w:rPr>
      </w:pPr>
      <w:r>
        <w:rPr>
          <w:rFonts w:ascii="Bookman Old Style" w:hAnsi="Bookman Old Style" w:cs="Arial"/>
          <w:bCs/>
          <w:iCs/>
          <w:sz w:val="28"/>
          <w:szCs w:val="28"/>
        </w:rPr>
        <w:t>LUIS ANTONIO HERNÁNDEZ BARBOSA</w:t>
      </w:r>
    </w:p>
    <w:p w:rsidR="004C7093" w:rsidRPr="00070144" w:rsidRDefault="004C7093" w:rsidP="004C7093">
      <w:pPr>
        <w:spacing w:line="360" w:lineRule="auto"/>
        <w:jc w:val="center"/>
        <w:rPr>
          <w:rFonts w:ascii="Bookman Old Style" w:hAnsi="Bookman Old Style" w:cs="Arial"/>
          <w:bCs/>
          <w:iCs/>
          <w:sz w:val="28"/>
          <w:szCs w:val="28"/>
        </w:rPr>
      </w:pPr>
    </w:p>
    <w:p w:rsidR="004C7093" w:rsidRPr="00070144" w:rsidRDefault="004C7093" w:rsidP="004C7093">
      <w:pPr>
        <w:spacing w:line="360" w:lineRule="auto"/>
        <w:jc w:val="center"/>
        <w:rPr>
          <w:rFonts w:ascii="Bookman Old Style" w:hAnsi="Bookman Old Style" w:cs="Arial"/>
          <w:bCs/>
          <w:iCs/>
          <w:sz w:val="28"/>
          <w:szCs w:val="28"/>
        </w:rPr>
      </w:pPr>
    </w:p>
    <w:p w:rsidR="004C7093" w:rsidRPr="00070144" w:rsidRDefault="004C7093" w:rsidP="004C7093">
      <w:pPr>
        <w:spacing w:line="360" w:lineRule="auto"/>
        <w:jc w:val="center"/>
        <w:rPr>
          <w:rFonts w:ascii="Bookman Old Style" w:hAnsi="Bookman Old Style" w:cs="Arial"/>
          <w:bCs/>
          <w:iCs/>
          <w:sz w:val="28"/>
          <w:szCs w:val="28"/>
        </w:rPr>
      </w:pPr>
    </w:p>
    <w:p w:rsidR="004C7093" w:rsidRDefault="004C7093" w:rsidP="004C7093">
      <w:pPr>
        <w:spacing w:line="360" w:lineRule="auto"/>
        <w:jc w:val="center"/>
        <w:rPr>
          <w:rFonts w:ascii="Bookman Old Style" w:hAnsi="Bookman Old Style" w:cs="Arial"/>
          <w:sz w:val="28"/>
          <w:szCs w:val="28"/>
        </w:rPr>
      </w:pPr>
      <w:r w:rsidRPr="00070144">
        <w:rPr>
          <w:rFonts w:ascii="Bookman Old Style" w:hAnsi="Bookman Old Style" w:cs="Arial"/>
          <w:sz w:val="28"/>
          <w:szCs w:val="28"/>
        </w:rPr>
        <w:t>EYDER PATIÑO CABRERA</w:t>
      </w:r>
    </w:p>
    <w:p w:rsidR="004C7093"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r>
        <w:rPr>
          <w:rFonts w:ascii="Bookman Old Style" w:hAnsi="Bookman Old Style" w:cs="Arial"/>
          <w:sz w:val="28"/>
          <w:szCs w:val="28"/>
        </w:rPr>
        <w:t xml:space="preserve">PATRICIA SALAZAR CUELLAR </w:t>
      </w: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sz w:val="28"/>
          <w:szCs w:val="28"/>
        </w:rPr>
      </w:pPr>
    </w:p>
    <w:p w:rsidR="004C7093" w:rsidRPr="00070144" w:rsidRDefault="004C7093" w:rsidP="004C7093">
      <w:pPr>
        <w:spacing w:line="360" w:lineRule="auto"/>
        <w:jc w:val="center"/>
        <w:rPr>
          <w:rFonts w:ascii="Bookman Old Style" w:hAnsi="Bookman Old Style" w:cs="Arial"/>
          <w:bCs/>
          <w:iCs/>
          <w:sz w:val="28"/>
          <w:szCs w:val="28"/>
        </w:rPr>
      </w:pPr>
      <w:r w:rsidRPr="00070144">
        <w:rPr>
          <w:rFonts w:ascii="Bookman Old Style" w:hAnsi="Bookman Old Style" w:cs="Arial"/>
          <w:sz w:val="28"/>
          <w:szCs w:val="28"/>
        </w:rPr>
        <w:t>LUIS GUILLERMO SALAZAR OTERO</w:t>
      </w:r>
    </w:p>
    <w:p w:rsidR="004C7093" w:rsidRPr="001454BD" w:rsidRDefault="004C7093" w:rsidP="004C7093">
      <w:pPr>
        <w:spacing w:line="360" w:lineRule="auto"/>
        <w:jc w:val="center"/>
        <w:rPr>
          <w:rFonts w:ascii="Bookman Old Style" w:hAnsi="Bookman Old Style" w:cs="Arial"/>
          <w:bCs/>
          <w:iCs/>
          <w:sz w:val="28"/>
          <w:szCs w:val="28"/>
        </w:rPr>
      </w:pPr>
    </w:p>
    <w:p w:rsidR="004C7093" w:rsidRPr="001454BD" w:rsidRDefault="004C7093" w:rsidP="004C7093">
      <w:pPr>
        <w:pStyle w:val="Textoindependiente"/>
        <w:jc w:val="center"/>
        <w:rPr>
          <w:rFonts w:ascii="Bookman Old Style" w:hAnsi="Bookman Old Style" w:cs="Arial"/>
          <w:sz w:val="28"/>
          <w:szCs w:val="28"/>
        </w:rPr>
      </w:pPr>
    </w:p>
    <w:p w:rsidR="004C7093" w:rsidRDefault="004C7093" w:rsidP="004C7093">
      <w:pPr>
        <w:pStyle w:val="Textoindependiente"/>
        <w:jc w:val="center"/>
        <w:rPr>
          <w:rFonts w:ascii="Bookman Old Style" w:hAnsi="Bookman Old Style" w:cs="Arial"/>
          <w:sz w:val="28"/>
          <w:szCs w:val="28"/>
        </w:rPr>
      </w:pPr>
    </w:p>
    <w:p w:rsidR="009917A8" w:rsidRDefault="009917A8" w:rsidP="004C7093">
      <w:pPr>
        <w:pStyle w:val="Textoindependiente"/>
        <w:jc w:val="center"/>
        <w:rPr>
          <w:rFonts w:ascii="Bookman Old Style" w:hAnsi="Bookman Old Style" w:cs="Arial"/>
          <w:sz w:val="28"/>
          <w:szCs w:val="28"/>
        </w:rPr>
      </w:pPr>
    </w:p>
    <w:p w:rsidR="009917A8" w:rsidRPr="001454BD" w:rsidRDefault="009917A8" w:rsidP="004C7093">
      <w:pPr>
        <w:pStyle w:val="Textoindependiente"/>
        <w:jc w:val="center"/>
        <w:rPr>
          <w:rFonts w:ascii="Bookman Old Style" w:hAnsi="Bookman Old Style" w:cs="Arial"/>
          <w:sz w:val="28"/>
          <w:szCs w:val="28"/>
        </w:rPr>
      </w:pPr>
    </w:p>
    <w:p w:rsidR="004C7093" w:rsidRPr="00070144" w:rsidRDefault="009917A8" w:rsidP="004C7093">
      <w:pPr>
        <w:pStyle w:val="Textoindependiente"/>
        <w:jc w:val="center"/>
        <w:rPr>
          <w:rFonts w:ascii="Bookman Old Style" w:hAnsi="Bookman Old Style" w:cs="Arial"/>
          <w:sz w:val="28"/>
          <w:szCs w:val="28"/>
        </w:rPr>
      </w:pPr>
      <w:r w:rsidRPr="001454BD">
        <w:rPr>
          <w:rFonts w:ascii="Bookman Old Style" w:hAnsi="Bookman Old Style" w:cs="Arial"/>
          <w:sz w:val="28"/>
          <w:szCs w:val="28"/>
        </w:rPr>
        <w:t>Nubia Yoland</w:t>
      </w:r>
      <w:r w:rsidRPr="00070144">
        <w:rPr>
          <w:rFonts w:ascii="Bookman Old Style" w:hAnsi="Bookman Old Style" w:cs="Arial"/>
          <w:sz w:val="28"/>
          <w:szCs w:val="28"/>
        </w:rPr>
        <w:t>a Nova García</w:t>
      </w:r>
    </w:p>
    <w:p w:rsidR="004C7093" w:rsidRDefault="004C7093" w:rsidP="004C7093">
      <w:pPr>
        <w:spacing w:line="360" w:lineRule="auto"/>
        <w:jc w:val="center"/>
      </w:pPr>
      <w:r w:rsidRPr="00070144">
        <w:rPr>
          <w:rFonts w:ascii="Bookman Old Style" w:hAnsi="Bookman Old Style" w:cs="Arial"/>
          <w:sz w:val="28"/>
          <w:szCs w:val="28"/>
        </w:rPr>
        <w:t>Secretaria</w:t>
      </w:r>
    </w:p>
    <w:p w:rsidR="004C7093" w:rsidRDefault="004C7093" w:rsidP="004C7093"/>
    <w:p w:rsidR="004C7093" w:rsidRDefault="004C7093" w:rsidP="004C7093"/>
    <w:p w:rsidR="004C7093" w:rsidRDefault="004C7093" w:rsidP="004C7093"/>
    <w:p w:rsidR="000E497D" w:rsidRDefault="000E497D"/>
    <w:sectPr w:rsidR="000E497D" w:rsidSect="0004431F">
      <w:headerReference w:type="default" r:id="rId7"/>
      <w:footerReference w:type="even" r:id="rId8"/>
      <w:footerReference w:type="default" r:id="rId9"/>
      <w:headerReference w:type="first" r:id="rId10"/>
      <w:footerReference w:type="first" r:id="rId11"/>
      <w:pgSz w:w="12242" w:h="18722" w:code="14"/>
      <w:pgMar w:top="2268" w:right="1701" w:bottom="1701" w:left="2268" w:header="113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5EA" w:rsidRDefault="006E25EA" w:rsidP="004C7093">
      <w:r>
        <w:separator/>
      </w:r>
    </w:p>
  </w:endnote>
  <w:endnote w:type="continuationSeparator" w:id="0">
    <w:p w:rsidR="006E25EA" w:rsidRDefault="006E25EA" w:rsidP="004C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Edwardian Script ITC">
    <w:altName w:val="Kunstler Script"/>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31F" w:rsidRDefault="00B4592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4431F" w:rsidRDefault="006E25E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31F" w:rsidRPr="006A52EB" w:rsidRDefault="00B45928" w:rsidP="0004431F">
    <w:pPr>
      <w:pStyle w:val="Piedepgina"/>
      <w:jc w:val="right"/>
    </w:pPr>
    <w:r>
      <w:fldChar w:fldCharType="begin"/>
    </w:r>
    <w:r>
      <w:instrText>PAGE   \* MERGEFORMAT</w:instrText>
    </w:r>
    <w:r>
      <w:fldChar w:fldCharType="separate"/>
    </w:r>
    <w:r w:rsidR="0079599E" w:rsidRPr="0079599E">
      <w:rPr>
        <w:noProof/>
        <w:lang w:val="es-ES"/>
      </w:rPr>
      <w:t>14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31F" w:rsidRDefault="00B45928" w:rsidP="0004431F">
    <w:pPr>
      <w:pStyle w:val="Piedepgina"/>
      <w:jc w:val="right"/>
    </w:pPr>
    <w:r>
      <w:fldChar w:fldCharType="begin"/>
    </w:r>
    <w:r>
      <w:instrText>PAGE   \* MERGEFORMAT</w:instrText>
    </w:r>
    <w:r>
      <w:fldChar w:fldCharType="separate"/>
    </w:r>
    <w:r w:rsidR="0079599E" w:rsidRPr="0079599E">
      <w:rPr>
        <w:noProof/>
        <w:lang w:val="es-ES"/>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5EA" w:rsidRDefault="006E25EA" w:rsidP="004C7093">
      <w:r>
        <w:separator/>
      </w:r>
    </w:p>
  </w:footnote>
  <w:footnote w:type="continuationSeparator" w:id="0">
    <w:p w:rsidR="006E25EA" w:rsidRDefault="006E25EA" w:rsidP="004C7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31F" w:rsidRPr="00EA457E" w:rsidRDefault="00B45928" w:rsidP="0004431F">
    <w:pPr>
      <w:pStyle w:val="Encabezado"/>
      <w:jc w:val="right"/>
      <w:rPr>
        <w:rFonts w:ascii="Bookman Old Style" w:hAnsi="Bookman Old Style"/>
        <w:iCs/>
        <w:lang w:val="es-CO"/>
      </w:rPr>
    </w:pPr>
    <w:r w:rsidRPr="00D36C94">
      <w:rPr>
        <w:rFonts w:ascii="Bookman Old Style" w:hAnsi="Bookman Old Style"/>
        <w:iCs/>
      </w:rPr>
      <w:t xml:space="preserve">Casación No. </w:t>
    </w:r>
    <w:r>
      <w:rPr>
        <w:rFonts w:ascii="Bookman Old Style" w:hAnsi="Bookman Old Style"/>
        <w:iCs/>
      </w:rPr>
      <w:t>4</w:t>
    </w:r>
    <w:r w:rsidR="004C7093">
      <w:rPr>
        <w:rFonts w:ascii="Bookman Old Style" w:hAnsi="Bookman Old Style"/>
        <w:iCs/>
      </w:rPr>
      <w:t>6000</w:t>
    </w:r>
  </w:p>
  <w:p w:rsidR="0004431F" w:rsidRPr="00D36C94" w:rsidRDefault="004C7093" w:rsidP="0004431F">
    <w:pPr>
      <w:pStyle w:val="Encabezado"/>
      <w:jc w:val="right"/>
      <w:rPr>
        <w:rFonts w:ascii="Bookman Old Style" w:hAnsi="Bookman Old Style"/>
        <w:bCs/>
        <w:iCs/>
      </w:rPr>
    </w:pPr>
    <w:r>
      <w:rPr>
        <w:rFonts w:ascii="Bookman Old Style" w:hAnsi="Bookman Old Style"/>
        <w:bCs/>
        <w:iCs/>
        <w:lang w:val="es-CO"/>
      </w:rPr>
      <w:t>Maritza Riveros Tiria</w:t>
    </w:r>
  </w:p>
  <w:p w:rsidR="0004431F" w:rsidRPr="00D109C3" w:rsidRDefault="006E25EA" w:rsidP="0004431F">
    <w:pPr>
      <w:pStyle w:val="Encabezad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31F" w:rsidRPr="00663CD2" w:rsidRDefault="00B45928" w:rsidP="0004431F">
    <w:pPr>
      <w:keepNext/>
      <w:tabs>
        <w:tab w:val="left" w:pos="3544"/>
      </w:tabs>
      <w:ind w:right="51"/>
      <w:jc w:val="center"/>
      <w:outlineLvl w:val="0"/>
      <w:rPr>
        <w:rFonts w:ascii="Edwardian Script ITC" w:hAnsi="Edwardian Script ITC"/>
        <w:sz w:val="28"/>
        <w:szCs w:val="28"/>
      </w:rPr>
    </w:pPr>
    <w:r w:rsidRPr="00663CD2">
      <w:rPr>
        <w:rFonts w:ascii="Edwardian Script ITC" w:hAnsi="Edwardian Script ITC"/>
        <w:sz w:val="28"/>
        <w:szCs w:val="28"/>
      </w:rPr>
      <w:t>República  de Colombia</w:t>
    </w:r>
  </w:p>
  <w:p w:rsidR="0004431F" w:rsidRPr="00A031FB" w:rsidRDefault="00B45928" w:rsidP="0004431F">
    <w:pPr>
      <w:tabs>
        <w:tab w:val="left" w:pos="3544"/>
        <w:tab w:val="left" w:pos="4305"/>
        <w:tab w:val="center" w:pos="4465"/>
      </w:tabs>
      <w:spacing w:line="360" w:lineRule="auto"/>
      <w:ind w:right="51"/>
      <w:rPr>
        <w:rFonts w:ascii="Edwardian Script ITC" w:hAnsi="Edwardian Script ITC"/>
        <w:b/>
        <w:color w:val="FF0000"/>
        <w:spacing w:val="-3"/>
        <w:sz w:val="28"/>
        <w:szCs w:val="28"/>
      </w:rPr>
    </w:pPr>
    <w:r w:rsidRPr="00A031FB">
      <w:rPr>
        <w:noProof/>
        <w:color w:val="FF0000"/>
        <w:sz w:val="28"/>
        <w:szCs w:val="28"/>
        <w:lang w:val="es-CO" w:eastAsia="es-CO"/>
      </w:rPr>
      <w:drawing>
        <wp:anchor distT="0" distB="0" distL="114300" distR="114300" simplePos="0" relativeHeight="251659264" behindDoc="0" locked="0" layoutInCell="1" allowOverlap="1" wp14:anchorId="188DF1F2" wp14:editId="1887A18A">
          <wp:simplePos x="0" y="0"/>
          <wp:positionH relativeFrom="column">
            <wp:posOffset>2324735</wp:posOffset>
          </wp:positionH>
          <wp:positionV relativeFrom="paragraph">
            <wp:posOffset>80010</wp:posOffset>
          </wp:positionV>
          <wp:extent cx="648335" cy="659130"/>
          <wp:effectExtent l="0" t="0" r="0" b="762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46" t="-3683" r="-246" b="-3770"/>
                  <a:stretch>
                    <a:fillRect/>
                  </a:stretch>
                </pic:blipFill>
                <pic:spPr bwMode="auto">
                  <a:xfrm>
                    <a:off x="0" y="0"/>
                    <a:ext cx="648335" cy="659130"/>
                  </a:xfrm>
                  <a:prstGeom prst="rect">
                    <a:avLst/>
                  </a:prstGeom>
                  <a:noFill/>
                </pic:spPr>
              </pic:pic>
            </a:graphicData>
          </a:graphic>
          <wp14:sizeRelH relativeFrom="page">
            <wp14:pctWidth>0</wp14:pctWidth>
          </wp14:sizeRelH>
          <wp14:sizeRelV relativeFrom="page">
            <wp14:pctHeight>0</wp14:pctHeight>
          </wp14:sizeRelV>
        </wp:anchor>
      </w:drawing>
    </w:r>
  </w:p>
  <w:p w:rsidR="0004431F" w:rsidRPr="00A031FB" w:rsidRDefault="006E25EA" w:rsidP="0004431F">
    <w:pPr>
      <w:tabs>
        <w:tab w:val="left" w:pos="3544"/>
      </w:tabs>
      <w:spacing w:line="360" w:lineRule="auto"/>
      <w:ind w:right="51"/>
      <w:rPr>
        <w:b/>
        <w:color w:val="FF0000"/>
        <w:spacing w:val="-3"/>
      </w:rPr>
    </w:pPr>
  </w:p>
  <w:p w:rsidR="0004431F" w:rsidRPr="00A031FB" w:rsidRDefault="006E25EA" w:rsidP="0004431F">
    <w:pPr>
      <w:tabs>
        <w:tab w:val="left" w:pos="3544"/>
      </w:tabs>
      <w:spacing w:line="360" w:lineRule="auto"/>
      <w:ind w:right="51"/>
      <w:rPr>
        <w:b/>
        <w:spacing w:val="-3"/>
      </w:rPr>
    </w:pPr>
  </w:p>
  <w:p w:rsidR="0004431F" w:rsidRDefault="00B45928" w:rsidP="0004431F">
    <w:pPr>
      <w:keepNext/>
      <w:tabs>
        <w:tab w:val="left" w:pos="3544"/>
      </w:tabs>
      <w:spacing w:before="240" w:after="60"/>
      <w:ind w:right="51"/>
      <w:jc w:val="center"/>
      <w:outlineLvl w:val="1"/>
      <w:rPr>
        <w:rFonts w:ascii="Edwardian Script ITC" w:hAnsi="Edwardian Script ITC"/>
        <w:bCs/>
        <w:i/>
        <w:iCs/>
        <w:sz w:val="28"/>
        <w:szCs w:val="28"/>
      </w:rPr>
    </w:pPr>
    <w:r w:rsidRPr="00663CD2">
      <w:rPr>
        <w:rFonts w:ascii="Edwardian Script ITC" w:hAnsi="Edwardian Script ITC"/>
        <w:bCs/>
        <w:i/>
        <w:iCs/>
        <w:sz w:val="28"/>
        <w:szCs w:val="28"/>
      </w:rPr>
      <w:t>Corte Suprema de Justicia</w:t>
    </w:r>
  </w:p>
  <w:p w:rsidR="0004431F" w:rsidRPr="00663CD2" w:rsidRDefault="006E25EA" w:rsidP="0004431F">
    <w:pPr>
      <w:keepNext/>
      <w:tabs>
        <w:tab w:val="left" w:pos="3544"/>
      </w:tabs>
      <w:spacing w:before="240" w:after="60"/>
      <w:ind w:right="51"/>
      <w:jc w:val="center"/>
      <w:outlineLvl w:val="1"/>
      <w:rPr>
        <w:rFonts w:ascii="Edwardian Script ITC" w:hAnsi="Edwardian Script ITC"/>
        <w:bCs/>
        <w:i/>
        <w:iCs/>
        <w:sz w:val="28"/>
        <w:szCs w:val="28"/>
      </w:rPr>
    </w:pPr>
  </w:p>
  <w:p w:rsidR="0004431F" w:rsidRPr="00493C39" w:rsidRDefault="006E25EA" w:rsidP="0004431F">
    <w:pPr>
      <w:pStyle w:val="Encabezado"/>
      <w:rPr>
        <w:b/>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xZIPEBOnCSa/XiAGQIO5PC8xFqU=" w:salt="JtSmuXinz8Homxz7sULCc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093"/>
    <w:rsid w:val="00013CA2"/>
    <w:rsid w:val="00036CCE"/>
    <w:rsid w:val="000403DF"/>
    <w:rsid w:val="00054387"/>
    <w:rsid w:val="000870FE"/>
    <w:rsid w:val="00095C23"/>
    <w:rsid w:val="000A6494"/>
    <w:rsid w:val="000E07C4"/>
    <w:rsid w:val="000E247D"/>
    <w:rsid w:val="000E497D"/>
    <w:rsid w:val="000F4D7F"/>
    <w:rsid w:val="000F51C5"/>
    <w:rsid w:val="001147F9"/>
    <w:rsid w:val="001273CE"/>
    <w:rsid w:val="00134D3B"/>
    <w:rsid w:val="00141DC0"/>
    <w:rsid w:val="00167B76"/>
    <w:rsid w:val="001F3A81"/>
    <w:rsid w:val="00205AC3"/>
    <w:rsid w:val="002070AC"/>
    <w:rsid w:val="00210C97"/>
    <w:rsid w:val="00241E5E"/>
    <w:rsid w:val="00247D58"/>
    <w:rsid w:val="00276005"/>
    <w:rsid w:val="002C4E27"/>
    <w:rsid w:val="002C7408"/>
    <w:rsid w:val="00325998"/>
    <w:rsid w:val="003C5363"/>
    <w:rsid w:val="003D3C8B"/>
    <w:rsid w:val="003D4640"/>
    <w:rsid w:val="00454A45"/>
    <w:rsid w:val="0048236E"/>
    <w:rsid w:val="004C7093"/>
    <w:rsid w:val="00510B25"/>
    <w:rsid w:val="00536B1B"/>
    <w:rsid w:val="00545524"/>
    <w:rsid w:val="006219F7"/>
    <w:rsid w:val="00641F82"/>
    <w:rsid w:val="00643627"/>
    <w:rsid w:val="006B7653"/>
    <w:rsid w:val="006D2D70"/>
    <w:rsid w:val="006E25EA"/>
    <w:rsid w:val="006F7B73"/>
    <w:rsid w:val="00702465"/>
    <w:rsid w:val="00723E81"/>
    <w:rsid w:val="00727358"/>
    <w:rsid w:val="007278F4"/>
    <w:rsid w:val="00730CD7"/>
    <w:rsid w:val="007377EB"/>
    <w:rsid w:val="007848C9"/>
    <w:rsid w:val="0079599E"/>
    <w:rsid w:val="007A6BB0"/>
    <w:rsid w:val="007E18EC"/>
    <w:rsid w:val="008609F7"/>
    <w:rsid w:val="008623E5"/>
    <w:rsid w:val="0090087E"/>
    <w:rsid w:val="00901D6E"/>
    <w:rsid w:val="009306EC"/>
    <w:rsid w:val="009917A8"/>
    <w:rsid w:val="009F0AE9"/>
    <w:rsid w:val="00A031FA"/>
    <w:rsid w:val="00A95D37"/>
    <w:rsid w:val="00AA35BD"/>
    <w:rsid w:val="00AF087F"/>
    <w:rsid w:val="00B013EC"/>
    <w:rsid w:val="00B45928"/>
    <w:rsid w:val="00B6590E"/>
    <w:rsid w:val="00B9364F"/>
    <w:rsid w:val="00BE5227"/>
    <w:rsid w:val="00C36222"/>
    <w:rsid w:val="00C36E5C"/>
    <w:rsid w:val="00C92B5E"/>
    <w:rsid w:val="00D66C3C"/>
    <w:rsid w:val="00D808AD"/>
    <w:rsid w:val="00DC1BC4"/>
    <w:rsid w:val="00DF4DC5"/>
    <w:rsid w:val="00E21C9A"/>
    <w:rsid w:val="00E835BA"/>
    <w:rsid w:val="00E87720"/>
    <w:rsid w:val="00E90642"/>
    <w:rsid w:val="00ED2799"/>
    <w:rsid w:val="00EF4489"/>
    <w:rsid w:val="00F10BE2"/>
    <w:rsid w:val="00F247B5"/>
    <w:rsid w:val="00F4403E"/>
    <w:rsid w:val="00F7106C"/>
    <w:rsid w:val="00F82B0A"/>
    <w:rsid w:val="00FB45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093"/>
    <w:pPr>
      <w:spacing w:line="240" w:lineRule="auto"/>
      <w:jc w:val="left"/>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C7093"/>
    <w:pPr>
      <w:tabs>
        <w:tab w:val="center" w:pos="4252"/>
        <w:tab w:val="right" w:pos="8504"/>
      </w:tabs>
    </w:pPr>
    <w:rPr>
      <w:lang w:val="es-ES_tradnl"/>
    </w:rPr>
  </w:style>
  <w:style w:type="character" w:customStyle="1" w:styleId="EncabezadoCar">
    <w:name w:val="Encabezado Car"/>
    <w:basedOn w:val="Fuentedeprrafopredeter"/>
    <w:link w:val="Encabezado"/>
    <w:rsid w:val="004C709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4C7093"/>
    <w:pPr>
      <w:tabs>
        <w:tab w:val="center" w:pos="4252"/>
        <w:tab w:val="right" w:pos="8504"/>
      </w:tabs>
    </w:pPr>
    <w:rPr>
      <w:lang w:val="es-ES_tradnl"/>
    </w:rPr>
  </w:style>
  <w:style w:type="character" w:customStyle="1" w:styleId="PiedepginaCar">
    <w:name w:val="Pie de página Car"/>
    <w:basedOn w:val="Fuentedeprrafopredeter"/>
    <w:link w:val="Piedepgina"/>
    <w:uiPriority w:val="99"/>
    <w:rsid w:val="004C7093"/>
    <w:rPr>
      <w:rFonts w:ascii="Times New Roman" w:eastAsia="Times New Roman" w:hAnsi="Times New Roman" w:cs="Times New Roman"/>
      <w:sz w:val="20"/>
      <w:szCs w:val="20"/>
      <w:lang w:val="es-ES_tradnl" w:eastAsia="es-ES"/>
    </w:rPr>
  </w:style>
  <w:style w:type="character" w:styleId="Nmerodepgina">
    <w:name w:val="page number"/>
    <w:rsid w:val="004C7093"/>
  </w:style>
  <w:style w:type="paragraph" w:styleId="Sangradetextonormal">
    <w:name w:val="Body Text Indent"/>
    <w:basedOn w:val="Normal"/>
    <w:link w:val="SangradetextonormalCar"/>
    <w:rsid w:val="004C7093"/>
    <w:pPr>
      <w:spacing w:line="460" w:lineRule="atLeast"/>
      <w:ind w:firstLine="1418"/>
      <w:jc w:val="both"/>
    </w:pPr>
    <w:rPr>
      <w:rFonts w:ascii="Verdana" w:hAnsi="Verdana"/>
      <w:sz w:val="24"/>
      <w:lang w:val="es-ES_tradnl"/>
    </w:rPr>
  </w:style>
  <w:style w:type="character" w:customStyle="1" w:styleId="SangradetextonormalCar">
    <w:name w:val="Sangría de texto normal Car"/>
    <w:basedOn w:val="Fuentedeprrafopredeter"/>
    <w:link w:val="Sangradetextonormal"/>
    <w:rsid w:val="004C7093"/>
    <w:rPr>
      <w:rFonts w:ascii="Verdana" w:eastAsia="Times New Roman" w:hAnsi="Verdana" w:cs="Times New Roman"/>
      <w:sz w:val="24"/>
      <w:szCs w:val="20"/>
      <w:lang w:val="es-ES_tradnl" w:eastAsia="es-ES"/>
    </w:rPr>
  </w:style>
  <w:style w:type="paragraph" w:styleId="Textoindependiente">
    <w:name w:val="Body Text"/>
    <w:basedOn w:val="Normal"/>
    <w:link w:val="TextoindependienteCar"/>
    <w:rsid w:val="004C7093"/>
    <w:pPr>
      <w:spacing w:line="360" w:lineRule="auto"/>
      <w:jc w:val="both"/>
    </w:pPr>
    <w:rPr>
      <w:rFonts w:ascii="Verdana" w:hAnsi="Verdana"/>
      <w:sz w:val="24"/>
      <w:lang w:val="es-ES_tradnl" w:eastAsia="x-none"/>
    </w:rPr>
  </w:style>
  <w:style w:type="character" w:customStyle="1" w:styleId="TextoindependienteCar">
    <w:name w:val="Texto independiente Car"/>
    <w:basedOn w:val="Fuentedeprrafopredeter"/>
    <w:link w:val="Textoindependiente"/>
    <w:rsid w:val="004C7093"/>
    <w:rPr>
      <w:rFonts w:ascii="Verdana" w:eastAsia="Times New Roman" w:hAnsi="Verdana" w:cs="Times New Roman"/>
      <w:sz w:val="24"/>
      <w:szCs w:val="20"/>
      <w:lang w:val="es-ES_tradnl" w:eastAsia="x-none"/>
    </w:rPr>
  </w:style>
  <w:style w:type="paragraph" w:styleId="Sangra2detindependiente">
    <w:name w:val="Body Text Indent 2"/>
    <w:basedOn w:val="Normal"/>
    <w:link w:val="Sangra2detindependienteCar"/>
    <w:rsid w:val="004C7093"/>
    <w:pPr>
      <w:spacing w:after="120" w:line="480" w:lineRule="auto"/>
      <w:ind w:left="283"/>
    </w:pPr>
  </w:style>
  <w:style w:type="character" w:customStyle="1" w:styleId="Sangra2detindependienteCar">
    <w:name w:val="Sangría 2 de t. independiente Car"/>
    <w:basedOn w:val="Fuentedeprrafopredeter"/>
    <w:link w:val="Sangra2detindependiente"/>
    <w:rsid w:val="004C7093"/>
    <w:rPr>
      <w:rFonts w:ascii="Times New Roman" w:eastAsia="Times New Roman" w:hAnsi="Times New Roman" w:cs="Times New Roman"/>
      <w:sz w:val="20"/>
      <w:szCs w:val="20"/>
      <w:lang w:eastAsia="es-ES"/>
    </w:rPr>
  </w:style>
  <w:style w:type="paragraph" w:styleId="Textonotapie">
    <w:name w:val="footnote text"/>
    <w:aliases w:val="Footnote Text Char Char Char Char Char,Footnote Text Char Char Char Char,Footnote reference,FA Fu,Texto nota pie Car Car Car,Texto nota pie Car Car Car Car Car Car Car Car Car Car Car"/>
    <w:basedOn w:val="Normal"/>
    <w:link w:val="TextonotapieCar"/>
    <w:semiHidden/>
    <w:unhideWhenUsed/>
    <w:rsid w:val="004C7093"/>
  </w:style>
  <w:style w:type="character" w:customStyle="1" w:styleId="TextonotapieCar">
    <w:name w:val="Texto nota pie Car"/>
    <w:aliases w:val="Footnote Text Char Char Char Char Char Car,Footnote Text Char Char Char Char Car,Footnote reference Car,FA Fu Car,Texto nota pie Car Car Car Car,Texto nota pie Car Car Car Car Car Car Car Car Car Car Car Car"/>
    <w:basedOn w:val="Fuentedeprrafopredeter"/>
    <w:link w:val="Textonotapie"/>
    <w:semiHidden/>
    <w:rsid w:val="004C7093"/>
    <w:rPr>
      <w:rFonts w:ascii="Times New Roman" w:eastAsia="Times New Roman" w:hAnsi="Times New Roman" w:cs="Times New Roman"/>
      <w:sz w:val="20"/>
      <w:szCs w:val="20"/>
      <w:lang w:eastAsia="es-ES"/>
    </w:rPr>
  </w:style>
  <w:style w:type="character" w:styleId="Refdenotaalpie">
    <w:name w:val="footnote reference"/>
    <w:basedOn w:val="Fuentedeprrafopredeter"/>
    <w:unhideWhenUsed/>
    <w:qFormat/>
    <w:rsid w:val="004C7093"/>
    <w:rPr>
      <w:vertAlign w:val="superscript"/>
    </w:rPr>
  </w:style>
  <w:style w:type="character" w:customStyle="1" w:styleId="Textoindependiente2Car">
    <w:name w:val="Texto independiente 2 Car"/>
    <w:link w:val="Textoindependiente2"/>
    <w:uiPriority w:val="99"/>
    <w:rsid w:val="004C7093"/>
  </w:style>
  <w:style w:type="paragraph" w:styleId="Textoindependiente2">
    <w:name w:val="Body Text 2"/>
    <w:basedOn w:val="Normal"/>
    <w:link w:val="Textoindependiente2Car"/>
    <w:uiPriority w:val="99"/>
    <w:unhideWhenUsed/>
    <w:rsid w:val="004C7093"/>
    <w:pPr>
      <w:spacing w:after="120" w:line="480" w:lineRule="auto"/>
      <w:jc w:val="both"/>
    </w:pPr>
    <w:rPr>
      <w:rFonts w:asciiTheme="minorHAnsi" w:eastAsiaTheme="minorHAnsi" w:hAnsiTheme="minorHAnsi" w:cstheme="minorBidi"/>
      <w:sz w:val="22"/>
      <w:szCs w:val="22"/>
      <w:lang w:eastAsia="en-US"/>
    </w:rPr>
  </w:style>
  <w:style w:type="character" w:customStyle="1" w:styleId="Textoindependiente2Car1">
    <w:name w:val="Texto independiente 2 Car1"/>
    <w:basedOn w:val="Fuentedeprrafopredeter"/>
    <w:uiPriority w:val="99"/>
    <w:semiHidden/>
    <w:rsid w:val="004C7093"/>
    <w:rPr>
      <w:rFonts w:ascii="Times New Roman" w:eastAsia="Times New Roman" w:hAnsi="Times New Roman" w:cs="Times New Roman"/>
      <w:sz w:val="20"/>
      <w:szCs w:val="20"/>
      <w:lang w:eastAsia="es-ES"/>
    </w:rPr>
  </w:style>
  <w:style w:type="character" w:customStyle="1" w:styleId="apple-converted-space">
    <w:name w:val="apple-converted-space"/>
    <w:basedOn w:val="Fuentedeprrafopredeter"/>
    <w:rsid w:val="00AA35BD"/>
  </w:style>
  <w:style w:type="paragraph" w:styleId="Sinespaciado">
    <w:name w:val="No Spacing"/>
    <w:uiPriority w:val="1"/>
    <w:qFormat/>
    <w:rsid w:val="001F3A81"/>
    <w:pPr>
      <w:spacing w:line="240" w:lineRule="auto"/>
      <w:jc w:val="left"/>
    </w:pPr>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C36222"/>
    <w:rPr>
      <w:rFonts w:ascii="Tahoma" w:hAnsi="Tahoma" w:cs="Tahoma"/>
      <w:sz w:val="16"/>
      <w:szCs w:val="16"/>
    </w:rPr>
  </w:style>
  <w:style w:type="character" w:customStyle="1" w:styleId="TextodegloboCar">
    <w:name w:val="Texto de globo Car"/>
    <w:basedOn w:val="Fuentedeprrafopredeter"/>
    <w:link w:val="Textodeglobo"/>
    <w:uiPriority w:val="99"/>
    <w:semiHidden/>
    <w:rsid w:val="00C36222"/>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093"/>
    <w:pPr>
      <w:spacing w:line="240" w:lineRule="auto"/>
      <w:jc w:val="left"/>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C7093"/>
    <w:pPr>
      <w:tabs>
        <w:tab w:val="center" w:pos="4252"/>
        <w:tab w:val="right" w:pos="8504"/>
      </w:tabs>
    </w:pPr>
    <w:rPr>
      <w:lang w:val="es-ES_tradnl"/>
    </w:rPr>
  </w:style>
  <w:style w:type="character" w:customStyle="1" w:styleId="EncabezadoCar">
    <w:name w:val="Encabezado Car"/>
    <w:basedOn w:val="Fuentedeprrafopredeter"/>
    <w:link w:val="Encabezado"/>
    <w:rsid w:val="004C709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4C7093"/>
    <w:pPr>
      <w:tabs>
        <w:tab w:val="center" w:pos="4252"/>
        <w:tab w:val="right" w:pos="8504"/>
      </w:tabs>
    </w:pPr>
    <w:rPr>
      <w:lang w:val="es-ES_tradnl"/>
    </w:rPr>
  </w:style>
  <w:style w:type="character" w:customStyle="1" w:styleId="PiedepginaCar">
    <w:name w:val="Pie de página Car"/>
    <w:basedOn w:val="Fuentedeprrafopredeter"/>
    <w:link w:val="Piedepgina"/>
    <w:uiPriority w:val="99"/>
    <w:rsid w:val="004C7093"/>
    <w:rPr>
      <w:rFonts w:ascii="Times New Roman" w:eastAsia="Times New Roman" w:hAnsi="Times New Roman" w:cs="Times New Roman"/>
      <w:sz w:val="20"/>
      <w:szCs w:val="20"/>
      <w:lang w:val="es-ES_tradnl" w:eastAsia="es-ES"/>
    </w:rPr>
  </w:style>
  <w:style w:type="character" w:styleId="Nmerodepgina">
    <w:name w:val="page number"/>
    <w:rsid w:val="004C7093"/>
  </w:style>
  <w:style w:type="paragraph" w:styleId="Sangradetextonormal">
    <w:name w:val="Body Text Indent"/>
    <w:basedOn w:val="Normal"/>
    <w:link w:val="SangradetextonormalCar"/>
    <w:rsid w:val="004C7093"/>
    <w:pPr>
      <w:spacing w:line="460" w:lineRule="atLeast"/>
      <w:ind w:firstLine="1418"/>
      <w:jc w:val="both"/>
    </w:pPr>
    <w:rPr>
      <w:rFonts w:ascii="Verdana" w:hAnsi="Verdana"/>
      <w:sz w:val="24"/>
      <w:lang w:val="es-ES_tradnl"/>
    </w:rPr>
  </w:style>
  <w:style w:type="character" w:customStyle="1" w:styleId="SangradetextonormalCar">
    <w:name w:val="Sangría de texto normal Car"/>
    <w:basedOn w:val="Fuentedeprrafopredeter"/>
    <w:link w:val="Sangradetextonormal"/>
    <w:rsid w:val="004C7093"/>
    <w:rPr>
      <w:rFonts w:ascii="Verdana" w:eastAsia="Times New Roman" w:hAnsi="Verdana" w:cs="Times New Roman"/>
      <w:sz w:val="24"/>
      <w:szCs w:val="20"/>
      <w:lang w:val="es-ES_tradnl" w:eastAsia="es-ES"/>
    </w:rPr>
  </w:style>
  <w:style w:type="paragraph" w:styleId="Textoindependiente">
    <w:name w:val="Body Text"/>
    <w:basedOn w:val="Normal"/>
    <w:link w:val="TextoindependienteCar"/>
    <w:rsid w:val="004C7093"/>
    <w:pPr>
      <w:spacing w:line="360" w:lineRule="auto"/>
      <w:jc w:val="both"/>
    </w:pPr>
    <w:rPr>
      <w:rFonts w:ascii="Verdana" w:hAnsi="Verdana"/>
      <w:sz w:val="24"/>
      <w:lang w:val="es-ES_tradnl" w:eastAsia="x-none"/>
    </w:rPr>
  </w:style>
  <w:style w:type="character" w:customStyle="1" w:styleId="TextoindependienteCar">
    <w:name w:val="Texto independiente Car"/>
    <w:basedOn w:val="Fuentedeprrafopredeter"/>
    <w:link w:val="Textoindependiente"/>
    <w:rsid w:val="004C7093"/>
    <w:rPr>
      <w:rFonts w:ascii="Verdana" w:eastAsia="Times New Roman" w:hAnsi="Verdana" w:cs="Times New Roman"/>
      <w:sz w:val="24"/>
      <w:szCs w:val="20"/>
      <w:lang w:val="es-ES_tradnl" w:eastAsia="x-none"/>
    </w:rPr>
  </w:style>
  <w:style w:type="paragraph" w:styleId="Sangra2detindependiente">
    <w:name w:val="Body Text Indent 2"/>
    <w:basedOn w:val="Normal"/>
    <w:link w:val="Sangra2detindependienteCar"/>
    <w:rsid w:val="004C7093"/>
    <w:pPr>
      <w:spacing w:after="120" w:line="480" w:lineRule="auto"/>
      <w:ind w:left="283"/>
    </w:pPr>
  </w:style>
  <w:style w:type="character" w:customStyle="1" w:styleId="Sangra2detindependienteCar">
    <w:name w:val="Sangría 2 de t. independiente Car"/>
    <w:basedOn w:val="Fuentedeprrafopredeter"/>
    <w:link w:val="Sangra2detindependiente"/>
    <w:rsid w:val="004C7093"/>
    <w:rPr>
      <w:rFonts w:ascii="Times New Roman" w:eastAsia="Times New Roman" w:hAnsi="Times New Roman" w:cs="Times New Roman"/>
      <w:sz w:val="20"/>
      <w:szCs w:val="20"/>
      <w:lang w:eastAsia="es-ES"/>
    </w:rPr>
  </w:style>
  <w:style w:type="paragraph" w:styleId="Textonotapie">
    <w:name w:val="footnote text"/>
    <w:aliases w:val="Footnote Text Char Char Char Char Char,Footnote Text Char Char Char Char,Footnote reference,FA Fu,Texto nota pie Car Car Car,Texto nota pie Car Car Car Car Car Car Car Car Car Car Car"/>
    <w:basedOn w:val="Normal"/>
    <w:link w:val="TextonotapieCar"/>
    <w:semiHidden/>
    <w:unhideWhenUsed/>
    <w:rsid w:val="004C7093"/>
  </w:style>
  <w:style w:type="character" w:customStyle="1" w:styleId="TextonotapieCar">
    <w:name w:val="Texto nota pie Car"/>
    <w:aliases w:val="Footnote Text Char Char Char Char Char Car,Footnote Text Char Char Char Char Car,Footnote reference Car,FA Fu Car,Texto nota pie Car Car Car Car,Texto nota pie Car Car Car Car Car Car Car Car Car Car Car Car"/>
    <w:basedOn w:val="Fuentedeprrafopredeter"/>
    <w:link w:val="Textonotapie"/>
    <w:semiHidden/>
    <w:rsid w:val="004C7093"/>
    <w:rPr>
      <w:rFonts w:ascii="Times New Roman" w:eastAsia="Times New Roman" w:hAnsi="Times New Roman" w:cs="Times New Roman"/>
      <w:sz w:val="20"/>
      <w:szCs w:val="20"/>
      <w:lang w:eastAsia="es-ES"/>
    </w:rPr>
  </w:style>
  <w:style w:type="character" w:styleId="Refdenotaalpie">
    <w:name w:val="footnote reference"/>
    <w:basedOn w:val="Fuentedeprrafopredeter"/>
    <w:unhideWhenUsed/>
    <w:qFormat/>
    <w:rsid w:val="004C7093"/>
    <w:rPr>
      <w:vertAlign w:val="superscript"/>
    </w:rPr>
  </w:style>
  <w:style w:type="character" w:customStyle="1" w:styleId="Textoindependiente2Car">
    <w:name w:val="Texto independiente 2 Car"/>
    <w:link w:val="Textoindependiente2"/>
    <w:uiPriority w:val="99"/>
    <w:rsid w:val="004C7093"/>
  </w:style>
  <w:style w:type="paragraph" w:styleId="Textoindependiente2">
    <w:name w:val="Body Text 2"/>
    <w:basedOn w:val="Normal"/>
    <w:link w:val="Textoindependiente2Car"/>
    <w:uiPriority w:val="99"/>
    <w:unhideWhenUsed/>
    <w:rsid w:val="004C7093"/>
    <w:pPr>
      <w:spacing w:after="120" w:line="480" w:lineRule="auto"/>
      <w:jc w:val="both"/>
    </w:pPr>
    <w:rPr>
      <w:rFonts w:asciiTheme="minorHAnsi" w:eastAsiaTheme="minorHAnsi" w:hAnsiTheme="minorHAnsi" w:cstheme="minorBidi"/>
      <w:sz w:val="22"/>
      <w:szCs w:val="22"/>
      <w:lang w:eastAsia="en-US"/>
    </w:rPr>
  </w:style>
  <w:style w:type="character" w:customStyle="1" w:styleId="Textoindependiente2Car1">
    <w:name w:val="Texto independiente 2 Car1"/>
    <w:basedOn w:val="Fuentedeprrafopredeter"/>
    <w:uiPriority w:val="99"/>
    <w:semiHidden/>
    <w:rsid w:val="004C7093"/>
    <w:rPr>
      <w:rFonts w:ascii="Times New Roman" w:eastAsia="Times New Roman" w:hAnsi="Times New Roman" w:cs="Times New Roman"/>
      <w:sz w:val="20"/>
      <w:szCs w:val="20"/>
      <w:lang w:eastAsia="es-ES"/>
    </w:rPr>
  </w:style>
  <w:style w:type="character" w:customStyle="1" w:styleId="apple-converted-space">
    <w:name w:val="apple-converted-space"/>
    <w:basedOn w:val="Fuentedeprrafopredeter"/>
    <w:rsid w:val="00AA35BD"/>
  </w:style>
  <w:style w:type="paragraph" w:styleId="Sinespaciado">
    <w:name w:val="No Spacing"/>
    <w:uiPriority w:val="1"/>
    <w:qFormat/>
    <w:rsid w:val="001F3A81"/>
    <w:pPr>
      <w:spacing w:line="240" w:lineRule="auto"/>
      <w:jc w:val="left"/>
    </w:pPr>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C36222"/>
    <w:rPr>
      <w:rFonts w:ascii="Tahoma" w:hAnsi="Tahoma" w:cs="Tahoma"/>
      <w:sz w:val="16"/>
      <w:szCs w:val="16"/>
    </w:rPr>
  </w:style>
  <w:style w:type="character" w:customStyle="1" w:styleId="TextodegloboCar">
    <w:name w:val="Texto de globo Car"/>
    <w:basedOn w:val="Fuentedeprrafopredeter"/>
    <w:link w:val="Textodeglobo"/>
    <w:uiPriority w:val="99"/>
    <w:semiHidden/>
    <w:rsid w:val="00C36222"/>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2231</Words>
  <Characters>12274</Characters>
  <Application>Microsoft Office Word</Application>
  <DocSecurity>8</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Dr.Angel Ovidio Vargas Galán</dc:creator>
  <cp:keywords/>
  <dc:description/>
  <cp:lastModifiedBy>Fernando Augusto Ruiz Delgado</cp:lastModifiedBy>
  <cp:revision>10</cp:revision>
  <cp:lastPrinted>2016-06-22T19:42:00Z</cp:lastPrinted>
  <dcterms:created xsi:type="dcterms:W3CDTF">2016-06-02T20:44:00Z</dcterms:created>
  <dcterms:modified xsi:type="dcterms:W3CDTF">2016-06-22T19:42:00Z</dcterms:modified>
</cp:coreProperties>
</file>